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333B" w:rsidRPr="002A333B" w:rsidRDefault="002A333B" w:rsidP="002A333B">
      <w:pPr>
        <w:jc w:val="center"/>
        <w:rPr>
          <w:szCs w:val="28"/>
        </w:rPr>
      </w:pPr>
    </w:p>
    <w:p w:rsidR="002A333B" w:rsidRPr="007561FF" w:rsidRDefault="002A333B" w:rsidP="007561FF"/>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Pr="007022F5" w:rsidRDefault="0060243A" w:rsidP="007022F5">
      <w:pPr>
        <w:spacing w:line="276" w:lineRule="auto"/>
        <w:jc w:val="center"/>
        <w:rPr>
          <w:i/>
        </w:rPr>
      </w:pPr>
      <w:r>
        <w:rPr>
          <w:i/>
        </w:rPr>
        <w:t>Widmung</w:t>
      </w:r>
    </w:p>
    <w:p w:rsidR="007022F5" w:rsidRDefault="007022F5">
      <w:pPr>
        <w:spacing w:line="276" w:lineRule="auto"/>
      </w:pPr>
    </w:p>
    <w:p w:rsidR="0060243A" w:rsidRDefault="007022F5">
      <w:pPr>
        <w:spacing w:line="276" w:lineRule="auto"/>
        <w:rPr>
          <w:b/>
          <w:sz w:val="50"/>
          <w:szCs w:val="50"/>
        </w:rPr>
      </w:pPr>
      <w:r>
        <w:rPr>
          <w:b/>
          <w:sz w:val="50"/>
          <w:szCs w:val="50"/>
        </w:rPr>
        <w:br w:type="page"/>
      </w:r>
    </w:p>
    <w:p w:rsidR="001D4DF8" w:rsidRDefault="001D4DF8" w:rsidP="001D4DF8">
      <w:pPr>
        <w:pStyle w:val="berschrift1ohneNummer"/>
        <w:sectPr w:rsidR="001D4DF8" w:rsidSect="00F8546B">
          <w:headerReference w:type="even" r:id="rId9"/>
          <w:headerReference w:type="default" r:id="rId10"/>
          <w:footerReference w:type="even" r:id="rId11"/>
          <w:footerReference w:type="default" r:id="rId12"/>
          <w:footnotePr>
            <w:numRestart w:val="eachSect"/>
          </w:footnotePr>
          <w:type w:val="oddPage"/>
          <w:pgSz w:w="11906" w:h="16838" w:code="9"/>
          <w:pgMar w:top="2041" w:right="1304" w:bottom="2041" w:left="1985" w:header="1134" w:footer="1134" w:gutter="0"/>
          <w:pgNumType w:fmt="upperRoman"/>
          <w:cols w:space="708"/>
          <w:titlePg/>
          <w:docGrid w:linePitch="360"/>
        </w:sectPr>
      </w:pPr>
    </w:p>
    <w:p w:rsidR="003D7FA5" w:rsidRPr="003D7FA5" w:rsidRDefault="003D7FA5" w:rsidP="001D4DF8">
      <w:pPr>
        <w:pStyle w:val="berschrift1ohneNummer"/>
        <w:rPr>
          <w:sz w:val="36"/>
          <w:szCs w:val="36"/>
        </w:rPr>
      </w:pPr>
      <w:bookmarkStart w:id="0" w:name="_Toc491418243"/>
      <w:r w:rsidRPr="0001169A">
        <w:lastRenderedPageBreak/>
        <w:t>Vorwort</w:t>
      </w:r>
      <w:bookmarkEnd w:id="0"/>
    </w:p>
    <w:p w:rsidR="003D7FA5" w:rsidRDefault="007022F5">
      <w:r>
        <w:t>XXX</w:t>
      </w:r>
    </w:p>
    <w:p w:rsidR="00111DBC" w:rsidRDefault="00111DBC"/>
    <w:p w:rsidR="001D4DF8" w:rsidRDefault="001D4DF8" w:rsidP="001D4DF8">
      <w:pPr>
        <w:pStyle w:val="berschrift1ohneNummer"/>
        <w:sectPr w:rsidR="001D4DF8" w:rsidSect="00F8546B">
          <w:footerReference w:type="first" r:id="rId13"/>
          <w:footnotePr>
            <w:numRestart w:val="eachSect"/>
          </w:footnotePr>
          <w:type w:val="oddPage"/>
          <w:pgSz w:w="11906" w:h="16838" w:code="9"/>
          <w:pgMar w:top="2041" w:right="1304" w:bottom="2041" w:left="1985" w:header="1134" w:footer="1134" w:gutter="0"/>
          <w:pgNumType w:fmt="upperRoman" w:start="1"/>
          <w:cols w:space="708"/>
          <w:titlePg/>
          <w:docGrid w:linePitch="360"/>
        </w:sectPr>
      </w:pPr>
    </w:p>
    <w:p w:rsidR="000C1F0C" w:rsidRDefault="007B2132" w:rsidP="001D4DF8">
      <w:pPr>
        <w:pStyle w:val="berschrift1ohneNummer"/>
      </w:pPr>
      <w:bookmarkStart w:id="1" w:name="_Toc491163241"/>
      <w:bookmarkStart w:id="2" w:name="_Toc491163417"/>
      <w:bookmarkStart w:id="3" w:name="_Toc491175207"/>
      <w:bookmarkStart w:id="4" w:name="_Toc491340708"/>
      <w:bookmarkStart w:id="5" w:name="_Toc491418244"/>
      <w:r w:rsidRPr="0001169A">
        <w:lastRenderedPageBreak/>
        <w:t>Inhaltsverzeichnis</w:t>
      </w:r>
      <w:bookmarkEnd w:id="1"/>
      <w:bookmarkEnd w:id="2"/>
      <w:bookmarkEnd w:id="3"/>
      <w:bookmarkEnd w:id="4"/>
      <w:bookmarkEnd w:id="5"/>
    </w:p>
    <w:sdt>
      <w:sdtPr>
        <w:rPr>
          <w:b w:val="0"/>
          <w:bCs w:val="0"/>
          <w:noProof w:val="0"/>
          <w:szCs w:val="22"/>
        </w:rPr>
        <w:id w:val="-2000876052"/>
        <w:docPartObj>
          <w:docPartGallery w:val="Table of Contents"/>
          <w:docPartUnique/>
        </w:docPartObj>
      </w:sdtPr>
      <w:sdtEndPr>
        <w:rPr>
          <w:b/>
          <w:bCs/>
          <w:noProof/>
          <w:szCs w:val="24"/>
        </w:rPr>
      </w:sdtEndPr>
      <w:sdtContent>
        <w:p w:rsidR="004F4C7B" w:rsidRDefault="00900B4D">
          <w:pPr>
            <w:pStyle w:val="Verzeichnis1"/>
            <w:rPr>
              <w:rFonts w:asciiTheme="minorHAnsi" w:eastAsiaTheme="minorEastAsia" w:hAnsiTheme="minorHAnsi" w:cstheme="minorBidi"/>
              <w:b w:val="0"/>
              <w:bCs w:val="0"/>
              <w:sz w:val="22"/>
              <w:szCs w:val="22"/>
              <w:lang w:eastAsia="de-DE"/>
            </w:rPr>
          </w:pPr>
          <w:r>
            <w:fldChar w:fldCharType="begin"/>
          </w:r>
          <w:r>
            <w:instrText xml:space="preserve"> TOC \o "1-3" \h \z \u </w:instrText>
          </w:r>
          <w:r>
            <w:fldChar w:fldCharType="separate"/>
          </w:r>
          <w:hyperlink w:anchor="_Toc491418243" w:history="1">
            <w:r w:rsidR="004F4C7B" w:rsidRPr="009931B4">
              <w:rPr>
                <w:rStyle w:val="Hyperlink"/>
              </w:rPr>
              <w:t>Vorwort</w:t>
            </w:r>
            <w:r w:rsidR="004F4C7B">
              <w:rPr>
                <w:webHidden/>
              </w:rPr>
              <w:tab/>
            </w:r>
            <w:r w:rsidR="004F4C7B">
              <w:rPr>
                <w:webHidden/>
              </w:rPr>
              <w:fldChar w:fldCharType="begin"/>
            </w:r>
            <w:r w:rsidR="004F4C7B">
              <w:rPr>
                <w:webHidden/>
              </w:rPr>
              <w:instrText xml:space="preserve"> PAGEREF _Toc491418243 \h </w:instrText>
            </w:r>
            <w:r w:rsidR="004F4C7B">
              <w:rPr>
                <w:webHidden/>
              </w:rPr>
            </w:r>
            <w:r w:rsidR="004F4C7B">
              <w:rPr>
                <w:webHidden/>
              </w:rPr>
              <w:fldChar w:fldCharType="separate"/>
            </w:r>
            <w:r w:rsidR="00391ED7">
              <w:rPr>
                <w:webHidden/>
              </w:rPr>
              <w:t>I</w:t>
            </w:r>
            <w:r w:rsidR="004F4C7B">
              <w:rPr>
                <w:webHidden/>
              </w:rPr>
              <w:fldChar w:fldCharType="end"/>
            </w:r>
          </w:hyperlink>
        </w:p>
        <w:p w:rsidR="004F4C7B" w:rsidRDefault="004F4C7B">
          <w:pPr>
            <w:pStyle w:val="Verzeichnis1"/>
            <w:rPr>
              <w:rFonts w:asciiTheme="minorHAnsi" w:eastAsiaTheme="minorEastAsia" w:hAnsiTheme="minorHAnsi" w:cstheme="minorBidi"/>
              <w:b w:val="0"/>
              <w:bCs w:val="0"/>
              <w:sz w:val="22"/>
              <w:szCs w:val="22"/>
              <w:lang w:eastAsia="de-DE"/>
            </w:rPr>
          </w:pPr>
          <w:hyperlink w:anchor="_Toc491418245" w:history="1">
            <w:r w:rsidRPr="009931B4">
              <w:rPr>
                <w:rStyle w:val="Hyperlink"/>
              </w:rPr>
              <w:t>Abkürzungsverzeichnis</w:t>
            </w:r>
            <w:r>
              <w:rPr>
                <w:webHidden/>
              </w:rPr>
              <w:tab/>
            </w:r>
            <w:r>
              <w:rPr>
                <w:webHidden/>
              </w:rPr>
              <w:fldChar w:fldCharType="begin"/>
            </w:r>
            <w:r>
              <w:rPr>
                <w:webHidden/>
              </w:rPr>
              <w:instrText xml:space="preserve"> PAGEREF _Toc491418245 \h </w:instrText>
            </w:r>
            <w:r>
              <w:rPr>
                <w:webHidden/>
              </w:rPr>
            </w:r>
            <w:r>
              <w:rPr>
                <w:webHidden/>
              </w:rPr>
              <w:fldChar w:fldCharType="separate"/>
            </w:r>
            <w:r w:rsidR="00391ED7">
              <w:rPr>
                <w:webHidden/>
              </w:rPr>
              <w:t>V</w:t>
            </w:r>
            <w:r>
              <w:rPr>
                <w:webHidden/>
              </w:rPr>
              <w:fldChar w:fldCharType="end"/>
            </w:r>
          </w:hyperlink>
        </w:p>
        <w:p w:rsidR="004F4C7B" w:rsidRDefault="004F4C7B" w:rsidP="00196E87">
          <w:pPr>
            <w:pStyle w:val="Verzeichnis1-Part"/>
            <w:rPr>
              <w:rFonts w:asciiTheme="minorHAnsi" w:eastAsiaTheme="minorEastAsia" w:hAnsiTheme="minorHAnsi" w:cstheme="minorBidi"/>
              <w:sz w:val="22"/>
              <w:szCs w:val="22"/>
              <w:lang w:eastAsia="de-DE"/>
            </w:rPr>
          </w:pPr>
          <w:hyperlink w:anchor="_Toc491418246" w:history="1">
            <w:r w:rsidRPr="009931B4">
              <w:rPr>
                <w:rStyle w:val="Hyperlink"/>
              </w:rPr>
              <w:t>Teil 1: Einleitung</w:t>
            </w:r>
            <w:r>
              <w:rPr>
                <w:webHidden/>
              </w:rPr>
              <w:tab/>
            </w:r>
            <w:r>
              <w:rPr>
                <w:webHidden/>
              </w:rPr>
              <w:fldChar w:fldCharType="begin"/>
            </w:r>
            <w:r>
              <w:rPr>
                <w:webHidden/>
              </w:rPr>
              <w:instrText xml:space="preserve"> PAGEREF _Toc491418246 \h </w:instrText>
            </w:r>
            <w:r>
              <w:rPr>
                <w:webHidden/>
              </w:rPr>
            </w:r>
            <w:r>
              <w:rPr>
                <w:webHidden/>
              </w:rPr>
              <w:fldChar w:fldCharType="separate"/>
            </w:r>
            <w:r w:rsidR="00391ED7">
              <w:rPr>
                <w:webHidden/>
              </w:rPr>
              <w:t>1</w:t>
            </w:r>
            <w:r>
              <w:rPr>
                <w:webHidden/>
              </w:rPr>
              <w:fldChar w:fldCharType="end"/>
            </w:r>
          </w:hyperlink>
        </w:p>
        <w:p w:rsidR="004F4C7B" w:rsidRDefault="004F4C7B">
          <w:pPr>
            <w:pStyle w:val="Verzeichnis1"/>
            <w:rPr>
              <w:rFonts w:asciiTheme="minorHAnsi" w:eastAsiaTheme="minorEastAsia" w:hAnsiTheme="minorHAnsi" w:cstheme="minorBidi"/>
              <w:b w:val="0"/>
              <w:bCs w:val="0"/>
              <w:sz w:val="22"/>
              <w:szCs w:val="22"/>
              <w:lang w:eastAsia="de-DE"/>
            </w:rPr>
          </w:pPr>
          <w:hyperlink w:anchor="_Toc491418247" w:history="1">
            <w:r w:rsidRPr="009931B4">
              <w:rPr>
                <w:rStyle w:val="Hyperlink"/>
              </w:rPr>
              <w:t>A.</w:t>
            </w:r>
            <w:r>
              <w:rPr>
                <w:rFonts w:asciiTheme="minorHAnsi" w:eastAsiaTheme="minorEastAsia" w:hAnsiTheme="minorHAnsi" w:cstheme="minorBidi"/>
                <w:b w:val="0"/>
                <w:bCs w:val="0"/>
                <w:sz w:val="22"/>
                <w:szCs w:val="22"/>
                <w:lang w:eastAsia="de-DE"/>
              </w:rPr>
              <w:tab/>
            </w:r>
            <w:r w:rsidRPr="009931B4">
              <w:rPr>
                <w:rStyle w:val="Hyperlink"/>
              </w:rPr>
              <w:t>Motivation</w:t>
            </w:r>
            <w:r>
              <w:rPr>
                <w:webHidden/>
              </w:rPr>
              <w:tab/>
            </w:r>
            <w:r>
              <w:rPr>
                <w:webHidden/>
              </w:rPr>
              <w:fldChar w:fldCharType="begin"/>
            </w:r>
            <w:r>
              <w:rPr>
                <w:webHidden/>
              </w:rPr>
              <w:instrText xml:space="preserve"> PAGEREF _Toc491418247 \h </w:instrText>
            </w:r>
            <w:r>
              <w:rPr>
                <w:webHidden/>
              </w:rPr>
            </w:r>
            <w:r>
              <w:rPr>
                <w:webHidden/>
              </w:rPr>
              <w:fldChar w:fldCharType="separate"/>
            </w:r>
            <w:r w:rsidR="00391ED7">
              <w:rPr>
                <w:webHidden/>
              </w:rPr>
              <w:t>3</w:t>
            </w:r>
            <w:r>
              <w:rPr>
                <w:webHidden/>
              </w:rPr>
              <w:fldChar w:fldCharType="end"/>
            </w:r>
          </w:hyperlink>
        </w:p>
        <w:p w:rsidR="004F4C7B" w:rsidRDefault="004F4C7B" w:rsidP="00196E87">
          <w:pPr>
            <w:pStyle w:val="Verzeichnis1-Part"/>
            <w:rPr>
              <w:rFonts w:asciiTheme="minorHAnsi" w:eastAsiaTheme="minorEastAsia" w:hAnsiTheme="minorHAnsi" w:cstheme="minorBidi"/>
              <w:sz w:val="22"/>
              <w:szCs w:val="22"/>
              <w:lang w:eastAsia="de-DE"/>
            </w:rPr>
          </w:pPr>
          <w:hyperlink w:anchor="_Toc491418248" w:history="1">
            <w:r w:rsidRPr="009931B4">
              <w:rPr>
                <w:rStyle w:val="Hyperlink"/>
              </w:rPr>
              <w:t>Teil 2: Wissensperspektiven zum Smart Grid</w:t>
            </w:r>
            <w:r>
              <w:rPr>
                <w:webHidden/>
              </w:rPr>
              <w:tab/>
            </w:r>
            <w:r>
              <w:rPr>
                <w:webHidden/>
              </w:rPr>
              <w:fldChar w:fldCharType="begin"/>
            </w:r>
            <w:r>
              <w:rPr>
                <w:webHidden/>
              </w:rPr>
              <w:instrText xml:space="preserve"> PAGEREF _Toc491418248 \h </w:instrText>
            </w:r>
            <w:r>
              <w:rPr>
                <w:webHidden/>
              </w:rPr>
            </w:r>
            <w:r>
              <w:rPr>
                <w:webHidden/>
              </w:rPr>
              <w:fldChar w:fldCharType="separate"/>
            </w:r>
            <w:r w:rsidR="00391ED7">
              <w:rPr>
                <w:webHidden/>
              </w:rPr>
              <w:t>5</w:t>
            </w:r>
            <w:r>
              <w:rPr>
                <w:webHidden/>
              </w:rPr>
              <w:fldChar w:fldCharType="end"/>
            </w:r>
          </w:hyperlink>
        </w:p>
        <w:p w:rsidR="004F4C7B" w:rsidRDefault="004F4C7B">
          <w:pPr>
            <w:pStyle w:val="Verzeichnis1"/>
            <w:rPr>
              <w:rFonts w:asciiTheme="minorHAnsi" w:eastAsiaTheme="minorEastAsia" w:hAnsiTheme="minorHAnsi" w:cstheme="minorBidi"/>
              <w:b w:val="0"/>
              <w:bCs w:val="0"/>
              <w:sz w:val="22"/>
              <w:szCs w:val="22"/>
              <w:lang w:eastAsia="de-DE"/>
            </w:rPr>
          </w:pPr>
          <w:hyperlink w:anchor="_Toc491418249" w:history="1">
            <w:r w:rsidRPr="009931B4">
              <w:rPr>
                <w:rStyle w:val="Hyperlink"/>
              </w:rPr>
              <w:t>A.</w:t>
            </w:r>
            <w:r>
              <w:rPr>
                <w:rFonts w:asciiTheme="minorHAnsi" w:eastAsiaTheme="minorEastAsia" w:hAnsiTheme="minorHAnsi" w:cstheme="minorBidi"/>
                <w:b w:val="0"/>
                <w:bCs w:val="0"/>
                <w:sz w:val="22"/>
                <w:szCs w:val="22"/>
                <w:lang w:eastAsia="de-DE"/>
              </w:rPr>
              <w:tab/>
            </w:r>
            <w:r w:rsidRPr="009931B4">
              <w:rPr>
                <w:rStyle w:val="Hyperlink"/>
              </w:rPr>
              <w:t>Legislative und behördliche Wissensdefizite zum Smart Grid</w:t>
            </w:r>
            <w:r>
              <w:rPr>
                <w:webHidden/>
              </w:rPr>
              <w:tab/>
            </w:r>
            <w:r>
              <w:rPr>
                <w:webHidden/>
              </w:rPr>
              <w:fldChar w:fldCharType="begin"/>
            </w:r>
            <w:r>
              <w:rPr>
                <w:webHidden/>
              </w:rPr>
              <w:instrText xml:space="preserve"> PAGEREF _Toc491418249 \h </w:instrText>
            </w:r>
            <w:r>
              <w:rPr>
                <w:webHidden/>
              </w:rPr>
            </w:r>
            <w:r>
              <w:rPr>
                <w:webHidden/>
              </w:rPr>
              <w:fldChar w:fldCharType="separate"/>
            </w:r>
            <w:r w:rsidR="00391ED7">
              <w:rPr>
                <w:webHidden/>
              </w:rPr>
              <w:t>7</w:t>
            </w:r>
            <w:r>
              <w:rPr>
                <w:webHidden/>
              </w:rPr>
              <w:fldChar w:fldCharType="end"/>
            </w:r>
          </w:hyperlink>
        </w:p>
        <w:p w:rsidR="004F4C7B" w:rsidRDefault="004F4C7B">
          <w:pPr>
            <w:pStyle w:val="Verzeichnis2"/>
            <w:tabs>
              <w:tab w:val="left" w:pos="964"/>
            </w:tabs>
            <w:rPr>
              <w:rFonts w:asciiTheme="minorHAnsi" w:eastAsiaTheme="minorEastAsia" w:hAnsiTheme="minorHAnsi" w:cstheme="minorBidi"/>
              <w:bCs w:val="0"/>
              <w:noProof/>
              <w:sz w:val="22"/>
              <w:szCs w:val="22"/>
              <w:lang w:eastAsia="de-DE"/>
            </w:rPr>
          </w:pPr>
          <w:hyperlink w:anchor="_Toc491418250" w:history="1">
            <w:r w:rsidRPr="009931B4">
              <w:rPr>
                <w:rStyle w:val="Hyperlink"/>
                <w:noProof/>
              </w:rPr>
              <w:t>I.</w:t>
            </w:r>
            <w:r>
              <w:rPr>
                <w:rFonts w:asciiTheme="minorHAnsi" w:eastAsiaTheme="minorEastAsia" w:hAnsiTheme="minorHAnsi" w:cstheme="minorBidi"/>
                <w:bCs w:val="0"/>
                <w:noProof/>
                <w:sz w:val="22"/>
                <w:szCs w:val="22"/>
                <w:lang w:eastAsia="de-DE"/>
              </w:rPr>
              <w:tab/>
            </w:r>
            <w:r w:rsidRPr="009931B4">
              <w:rPr>
                <w:rStyle w:val="Hyperlink"/>
                <w:noProof/>
              </w:rPr>
              <w:t>Einleitung</w:t>
            </w:r>
            <w:r>
              <w:rPr>
                <w:noProof/>
                <w:webHidden/>
              </w:rPr>
              <w:tab/>
            </w:r>
            <w:r>
              <w:rPr>
                <w:noProof/>
                <w:webHidden/>
              </w:rPr>
              <w:fldChar w:fldCharType="begin"/>
            </w:r>
            <w:r>
              <w:rPr>
                <w:noProof/>
                <w:webHidden/>
              </w:rPr>
              <w:instrText xml:space="preserve"> PAGEREF _Toc491418250 \h </w:instrText>
            </w:r>
            <w:r>
              <w:rPr>
                <w:noProof/>
                <w:webHidden/>
              </w:rPr>
            </w:r>
            <w:r>
              <w:rPr>
                <w:noProof/>
                <w:webHidden/>
              </w:rPr>
              <w:fldChar w:fldCharType="separate"/>
            </w:r>
            <w:r w:rsidR="00391ED7">
              <w:rPr>
                <w:noProof/>
                <w:webHidden/>
              </w:rPr>
              <w:t>7</w:t>
            </w:r>
            <w:r>
              <w:rPr>
                <w:noProof/>
                <w:webHidden/>
              </w:rPr>
              <w:fldChar w:fldCharType="end"/>
            </w:r>
          </w:hyperlink>
        </w:p>
        <w:p w:rsidR="004F4C7B" w:rsidRDefault="004F4C7B">
          <w:pPr>
            <w:pStyle w:val="Verzeichnis2"/>
            <w:tabs>
              <w:tab w:val="left" w:pos="964"/>
            </w:tabs>
            <w:rPr>
              <w:rFonts w:asciiTheme="minorHAnsi" w:eastAsiaTheme="minorEastAsia" w:hAnsiTheme="minorHAnsi" w:cstheme="minorBidi"/>
              <w:bCs w:val="0"/>
              <w:noProof/>
              <w:sz w:val="22"/>
              <w:szCs w:val="22"/>
              <w:lang w:eastAsia="de-DE"/>
            </w:rPr>
          </w:pPr>
          <w:hyperlink w:anchor="_Toc491418251" w:history="1">
            <w:r w:rsidRPr="009931B4">
              <w:rPr>
                <w:rStyle w:val="Hyperlink"/>
                <w:noProof/>
              </w:rPr>
              <w:t>II.</w:t>
            </w:r>
            <w:r>
              <w:rPr>
                <w:rFonts w:asciiTheme="minorHAnsi" w:eastAsiaTheme="minorEastAsia" w:hAnsiTheme="minorHAnsi" w:cstheme="minorBidi"/>
                <w:bCs w:val="0"/>
                <w:noProof/>
                <w:sz w:val="22"/>
                <w:szCs w:val="22"/>
                <w:lang w:eastAsia="de-DE"/>
              </w:rPr>
              <w:tab/>
            </w:r>
            <w:r w:rsidRPr="009931B4">
              <w:rPr>
                <w:rStyle w:val="Hyperlink"/>
                <w:noProof/>
              </w:rPr>
              <w:t>Einzelne legislative Wissensdefizite</w:t>
            </w:r>
            <w:r>
              <w:rPr>
                <w:noProof/>
                <w:webHidden/>
              </w:rPr>
              <w:tab/>
            </w:r>
            <w:r>
              <w:rPr>
                <w:noProof/>
                <w:webHidden/>
              </w:rPr>
              <w:fldChar w:fldCharType="begin"/>
            </w:r>
            <w:r>
              <w:rPr>
                <w:noProof/>
                <w:webHidden/>
              </w:rPr>
              <w:instrText xml:space="preserve"> PAGEREF _Toc491418251 \h </w:instrText>
            </w:r>
            <w:r>
              <w:rPr>
                <w:noProof/>
                <w:webHidden/>
              </w:rPr>
            </w:r>
            <w:r>
              <w:rPr>
                <w:noProof/>
                <w:webHidden/>
              </w:rPr>
              <w:fldChar w:fldCharType="separate"/>
            </w:r>
            <w:r w:rsidR="00391ED7">
              <w:rPr>
                <w:noProof/>
                <w:webHidden/>
              </w:rPr>
              <w:t>8</w:t>
            </w:r>
            <w:r>
              <w:rPr>
                <w:noProof/>
                <w:webHidden/>
              </w:rPr>
              <w:fldChar w:fldCharType="end"/>
            </w:r>
          </w:hyperlink>
        </w:p>
        <w:p w:rsidR="004F4C7B" w:rsidRDefault="004F4C7B">
          <w:pPr>
            <w:pStyle w:val="Verzeichnis3"/>
            <w:tabs>
              <w:tab w:val="left" w:pos="1400"/>
            </w:tabs>
            <w:rPr>
              <w:rFonts w:asciiTheme="minorHAnsi" w:eastAsiaTheme="minorEastAsia" w:hAnsiTheme="minorHAnsi" w:cstheme="minorBidi"/>
              <w:noProof/>
              <w:sz w:val="22"/>
              <w:szCs w:val="22"/>
              <w:lang w:eastAsia="de-DE"/>
            </w:rPr>
          </w:pPr>
          <w:hyperlink w:anchor="_Toc491418252" w:history="1">
            <w:r w:rsidRPr="009931B4">
              <w:rPr>
                <w:rStyle w:val="Hyperlink"/>
                <w:noProof/>
              </w:rPr>
              <w:t>1.</w:t>
            </w:r>
            <w:r>
              <w:rPr>
                <w:rFonts w:asciiTheme="minorHAnsi" w:eastAsiaTheme="minorEastAsia" w:hAnsiTheme="minorHAnsi" w:cstheme="minorBidi"/>
                <w:noProof/>
                <w:sz w:val="22"/>
                <w:szCs w:val="22"/>
                <w:lang w:eastAsia="de-DE"/>
              </w:rPr>
              <w:tab/>
            </w:r>
            <w:r w:rsidRPr="009931B4">
              <w:rPr>
                <w:rStyle w:val="Hyperlink"/>
                <w:noProof/>
              </w:rPr>
              <w:t>Ausgestaltung des rechtlichen Rahmens</w:t>
            </w:r>
            <w:r>
              <w:rPr>
                <w:noProof/>
                <w:webHidden/>
              </w:rPr>
              <w:tab/>
            </w:r>
            <w:r>
              <w:rPr>
                <w:noProof/>
                <w:webHidden/>
              </w:rPr>
              <w:fldChar w:fldCharType="begin"/>
            </w:r>
            <w:r>
              <w:rPr>
                <w:noProof/>
                <w:webHidden/>
              </w:rPr>
              <w:instrText xml:space="preserve"> PAGEREF _Toc491418252 \h </w:instrText>
            </w:r>
            <w:r>
              <w:rPr>
                <w:noProof/>
                <w:webHidden/>
              </w:rPr>
            </w:r>
            <w:r>
              <w:rPr>
                <w:noProof/>
                <w:webHidden/>
              </w:rPr>
              <w:fldChar w:fldCharType="separate"/>
            </w:r>
            <w:r w:rsidR="00391ED7">
              <w:rPr>
                <w:noProof/>
                <w:webHidden/>
              </w:rPr>
              <w:t>8</w:t>
            </w:r>
            <w:r>
              <w:rPr>
                <w:noProof/>
                <w:webHidden/>
              </w:rPr>
              <w:fldChar w:fldCharType="end"/>
            </w:r>
          </w:hyperlink>
        </w:p>
        <w:p w:rsidR="004F4C7B" w:rsidRDefault="004F4C7B">
          <w:pPr>
            <w:pStyle w:val="Verzeichnis3"/>
            <w:tabs>
              <w:tab w:val="left" w:pos="1400"/>
            </w:tabs>
            <w:rPr>
              <w:rFonts w:asciiTheme="minorHAnsi" w:eastAsiaTheme="minorEastAsia" w:hAnsiTheme="minorHAnsi" w:cstheme="minorBidi"/>
              <w:noProof/>
              <w:sz w:val="22"/>
              <w:szCs w:val="22"/>
              <w:lang w:eastAsia="de-DE"/>
            </w:rPr>
          </w:pPr>
          <w:hyperlink w:anchor="_Toc491418253" w:history="1">
            <w:r w:rsidRPr="009931B4">
              <w:rPr>
                <w:rStyle w:val="Hyperlink"/>
                <w:noProof/>
              </w:rPr>
              <w:t>2.</w:t>
            </w:r>
            <w:r>
              <w:rPr>
                <w:rFonts w:asciiTheme="minorHAnsi" w:eastAsiaTheme="minorEastAsia" w:hAnsiTheme="minorHAnsi" w:cstheme="minorBidi"/>
                <w:noProof/>
                <w:sz w:val="22"/>
                <w:szCs w:val="22"/>
                <w:lang w:eastAsia="de-DE"/>
              </w:rPr>
              <w:tab/>
            </w:r>
            <w:r w:rsidRPr="009931B4">
              <w:rPr>
                <w:rStyle w:val="Hyperlink"/>
                <w:noProof/>
              </w:rPr>
              <w:t>Defizite innerhalb der materiellen Datenschutzvorgaben</w:t>
            </w:r>
            <w:r>
              <w:rPr>
                <w:noProof/>
                <w:webHidden/>
              </w:rPr>
              <w:tab/>
            </w:r>
            <w:r>
              <w:rPr>
                <w:noProof/>
                <w:webHidden/>
              </w:rPr>
              <w:fldChar w:fldCharType="begin"/>
            </w:r>
            <w:r>
              <w:rPr>
                <w:noProof/>
                <w:webHidden/>
              </w:rPr>
              <w:instrText xml:space="preserve"> PAGEREF _Toc491418253 \h </w:instrText>
            </w:r>
            <w:r>
              <w:rPr>
                <w:noProof/>
                <w:webHidden/>
              </w:rPr>
            </w:r>
            <w:r>
              <w:rPr>
                <w:noProof/>
                <w:webHidden/>
              </w:rPr>
              <w:fldChar w:fldCharType="separate"/>
            </w:r>
            <w:r w:rsidR="00391ED7">
              <w:rPr>
                <w:noProof/>
                <w:webHidden/>
              </w:rPr>
              <w:t>16</w:t>
            </w:r>
            <w:r>
              <w:rPr>
                <w:noProof/>
                <w:webHidden/>
              </w:rPr>
              <w:fldChar w:fldCharType="end"/>
            </w:r>
          </w:hyperlink>
        </w:p>
        <w:p w:rsidR="004F4C7B" w:rsidRDefault="004F4C7B" w:rsidP="00196E87">
          <w:pPr>
            <w:pStyle w:val="Verzeichnis1-Part"/>
            <w:rPr>
              <w:rFonts w:asciiTheme="minorHAnsi" w:eastAsiaTheme="minorEastAsia" w:hAnsiTheme="minorHAnsi" w:cstheme="minorBidi"/>
              <w:sz w:val="22"/>
              <w:szCs w:val="22"/>
              <w:lang w:eastAsia="de-DE"/>
            </w:rPr>
          </w:pPr>
          <w:hyperlink w:anchor="_Toc491418254" w:history="1">
            <w:r w:rsidRPr="009931B4">
              <w:rPr>
                <w:rStyle w:val="Hyperlink"/>
              </w:rPr>
              <w:t>Teil 3: Instrumentelle Ableitungen für ein lernfähiges Verfahren</w:t>
            </w:r>
            <w:r>
              <w:rPr>
                <w:webHidden/>
              </w:rPr>
              <w:tab/>
            </w:r>
            <w:r>
              <w:rPr>
                <w:webHidden/>
              </w:rPr>
              <w:fldChar w:fldCharType="begin"/>
            </w:r>
            <w:r>
              <w:rPr>
                <w:webHidden/>
              </w:rPr>
              <w:instrText xml:space="preserve"> PAGEREF _Toc491418254 \h </w:instrText>
            </w:r>
            <w:r>
              <w:rPr>
                <w:webHidden/>
              </w:rPr>
            </w:r>
            <w:r>
              <w:rPr>
                <w:webHidden/>
              </w:rPr>
              <w:fldChar w:fldCharType="separate"/>
            </w:r>
            <w:r w:rsidR="00391ED7">
              <w:rPr>
                <w:webHidden/>
              </w:rPr>
              <w:t>47</w:t>
            </w:r>
            <w:r>
              <w:rPr>
                <w:webHidden/>
              </w:rPr>
              <w:fldChar w:fldCharType="end"/>
            </w:r>
          </w:hyperlink>
        </w:p>
        <w:p w:rsidR="004F4C7B" w:rsidRDefault="004F4C7B">
          <w:pPr>
            <w:pStyle w:val="Verzeichnis1"/>
            <w:rPr>
              <w:rFonts w:asciiTheme="minorHAnsi" w:eastAsiaTheme="minorEastAsia" w:hAnsiTheme="minorHAnsi" w:cstheme="minorBidi"/>
              <w:b w:val="0"/>
              <w:bCs w:val="0"/>
              <w:sz w:val="22"/>
              <w:szCs w:val="22"/>
              <w:lang w:eastAsia="de-DE"/>
            </w:rPr>
          </w:pPr>
          <w:hyperlink w:anchor="_Toc491418255" w:history="1">
            <w:r w:rsidRPr="009931B4">
              <w:rPr>
                <w:rStyle w:val="Hyperlink"/>
              </w:rPr>
              <w:t>A.</w:t>
            </w:r>
            <w:r>
              <w:rPr>
                <w:rFonts w:asciiTheme="minorHAnsi" w:eastAsiaTheme="minorEastAsia" w:hAnsiTheme="minorHAnsi" w:cstheme="minorBidi"/>
                <w:b w:val="0"/>
                <w:bCs w:val="0"/>
                <w:sz w:val="22"/>
                <w:szCs w:val="22"/>
                <w:lang w:eastAsia="de-DE"/>
              </w:rPr>
              <w:tab/>
            </w:r>
            <w:r w:rsidRPr="009931B4">
              <w:rPr>
                <w:rStyle w:val="Hyperlink"/>
              </w:rPr>
              <w:t>Instrumente zur Gestaltung von Lernfähigkeit im Verfahren</w:t>
            </w:r>
            <w:r>
              <w:rPr>
                <w:webHidden/>
              </w:rPr>
              <w:tab/>
            </w:r>
            <w:r>
              <w:rPr>
                <w:webHidden/>
              </w:rPr>
              <w:fldChar w:fldCharType="begin"/>
            </w:r>
            <w:r>
              <w:rPr>
                <w:webHidden/>
              </w:rPr>
              <w:instrText xml:space="preserve"> PAGEREF _Toc491418255 \h </w:instrText>
            </w:r>
            <w:r>
              <w:rPr>
                <w:webHidden/>
              </w:rPr>
            </w:r>
            <w:r>
              <w:rPr>
                <w:webHidden/>
              </w:rPr>
              <w:fldChar w:fldCharType="separate"/>
            </w:r>
            <w:r w:rsidR="00391ED7">
              <w:rPr>
                <w:webHidden/>
              </w:rPr>
              <w:t>49</w:t>
            </w:r>
            <w:r>
              <w:rPr>
                <w:webHidden/>
              </w:rPr>
              <w:fldChar w:fldCharType="end"/>
            </w:r>
          </w:hyperlink>
        </w:p>
        <w:p w:rsidR="004F4C7B" w:rsidRDefault="004F4C7B">
          <w:pPr>
            <w:pStyle w:val="Verzeichnis2"/>
            <w:tabs>
              <w:tab w:val="left" w:pos="964"/>
            </w:tabs>
            <w:rPr>
              <w:rFonts w:asciiTheme="minorHAnsi" w:eastAsiaTheme="minorEastAsia" w:hAnsiTheme="minorHAnsi" w:cstheme="minorBidi"/>
              <w:bCs w:val="0"/>
              <w:noProof/>
              <w:sz w:val="22"/>
              <w:szCs w:val="22"/>
              <w:lang w:eastAsia="de-DE"/>
            </w:rPr>
          </w:pPr>
          <w:hyperlink w:anchor="_Toc491418256" w:history="1">
            <w:r w:rsidRPr="009931B4">
              <w:rPr>
                <w:rStyle w:val="Hyperlink"/>
                <w:noProof/>
              </w:rPr>
              <w:t>I.</w:t>
            </w:r>
            <w:r>
              <w:rPr>
                <w:rFonts w:asciiTheme="minorHAnsi" w:eastAsiaTheme="minorEastAsia" w:hAnsiTheme="minorHAnsi" w:cstheme="minorBidi"/>
                <w:bCs w:val="0"/>
                <w:noProof/>
                <w:sz w:val="22"/>
                <w:szCs w:val="22"/>
                <w:lang w:eastAsia="de-DE"/>
              </w:rPr>
              <w:tab/>
            </w:r>
            <w:r w:rsidRPr="009931B4">
              <w:rPr>
                <w:rStyle w:val="Hyperlink"/>
                <w:noProof/>
              </w:rPr>
              <w:t>Speicher und grundlegende symbolische Strukturen für lernfähige Verfahren</w:t>
            </w:r>
            <w:r>
              <w:rPr>
                <w:noProof/>
                <w:webHidden/>
              </w:rPr>
              <w:tab/>
            </w:r>
            <w:r>
              <w:rPr>
                <w:noProof/>
                <w:webHidden/>
              </w:rPr>
              <w:fldChar w:fldCharType="begin"/>
            </w:r>
            <w:r>
              <w:rPr>
                <w:noProof/>
                <w:webHidden/>
              </w:rPr>
              <w:instrText xml:space="preserve"> PAGEREF _Toc491418256 \h </w:instrText>
            </w:r>
            <w:r>
              <w:rPr>
                <w:noProof/>
                <w:webHidden/>
              </w:rPr>
            </w:r>
            <w:r>
              <w:rPr>
                <w:noProof/>
                <w:webHidden/>
              </w:rPr>
              <w:fldChar w:fldCharType="separate"/>
            </w:r>
            <w:r w:rsidR="00391ED7">
              <w:rPr>
                <w:noProof/>
                <w:webHidden/>
              </w:rPr>
              <w:t>49</w:t>
            </w:r>
            <w:r>
              <w:rPr>
                <w:noProof/>
                <w:webHidden/>
              </w:rPr>
              <w:fldChar w:fldCharType="end"/>
            </w:r>
          </w:hyperlink>
        </w:p>
        <w:p w:rsidR="004F4C7B" w:rsidRDefault="004F4C7B">
          <w:pPr>
            <w:pStyle w:val="Verzeichnis2"/>
            <w:tabs>
              <w:tab w:val="left" w:pos="964"/>
            </w:tabs>
            <w:rPr>
              <w:rFonts w:asciiTheme="minorHAnsi" w:eastAsiaTheme="minorEastAsia" w:hAnsiTheme="minorHAnsi" w:cstheme="minorBidi"/>
              <w:bCs w:val="0"/>
              <w:noProof/>
              <w:sz w:val="22"/>
              <w:szCs w:val="22"/>
              <w:lang w:eastAsia="de-DE"/>
            </w:rPr>
          </w:pPr>
          <w:hyperlink w:anchor="_Toc491418257" w:history="1">
            <w:r w:rsidRPr="009931B4">
              <w:rPr>
                <w:rStyle w:val="Hyperlink"/>
                <w:noProof/>
              </w:rPr>
              <w:t>II.</w:t>
            </w:r>
            <w:r>
              <w:rPr>
                <w:rFonts w:asciiTheme="minorHAnsi" w:eastAsiaTheme="minorEastAsia" w:hAnsiTheme="minorHAnsi" w:cstheme="minorBidi"/>
                <w:bCs w:val="0"/>
                <w:noProof/>
                <w:sz w:val="22"/>
                <w:szCs w:val="22"/>
                <w:lang w:eastAsia="de-DE"/>
              </w:rPr>
              <w:tab/>
            </w:r>
            <w:r w:rsidRPr="009931B4">
              <w:rPr>
                <w:rStyle w:val="Hyperlink"/>
                <w:noProof/>
              </w:rPr>
              <w:t>Instrumente zur Lernfähigkeit und Stabilisierung von Wissen im raumbedeutsamen Planungsrecht</w:t>
            </w:r>
            <w:r>
              <w:rPr>
                <w:noProof/>
                <w:webHidden/>
              </w:rPr>
              <w:tab/>
            </w:r>
            <w:r>
              <w:rPr>
                <w:noProof/>
                <w:webHidden/>
              </w:rPr>
              <w:fldChar w:fldCharType="begin"/>
            </w:r>
            <w:r>
              <w:rPr>
                <w:noProof/>
                <w:webHidden/>
              </w:rPr>
              <w:instrText xml:space="preserve"> PAGEREF _Toc491418257 \h </w:instrText>
            </w:r>
            <w:r>
              <w:rPr>
                <w:noProof/>
                <w:webHidden/>
              </w:rPr>
            </w:r>
            <w:r>
              <w:rPr>
                <w:noProof/>
                <w:webHidden/>
              </w:rPr>
              <w:fldChar w:fldCharType="separate"/>
            </w:r>
            <w:r w:rsidR="00391ED7">
              <w:rPr>
                <w:noProof/>
                <w:webHidden/>
              </w:rPr>
              <w:t>53</w:t>
            </w:r>
            <w:r>
              <w:rPr>
                <w:noProof/>
                <w:webHidden/>
              </w:rPr>
              <w:fldChar w:fldCharType="end"/>
            </w:r>
          </w:hyperlink>
        </w:p>
        <w:p w:rsidR="004F4C7B" w:rsidRDefault="004F4C7B">
          <w:pPr>
            <w:pStyle w:val="Verzeichnis1"/>
            <w:rPr>
              <w:rFonts w:asciiTheme="minorHAnsi" w:eastAsiaTheme="minorEastAsia" w:hAnsiTheme="minorHAnsi" w:cstheme="minorBidi"/>
              <w:b w:val="0"/>
              <w:bCs w:val="0"/>
              <w:sz w:val="22"/>
              <w:szCs w:val="22"/>
              <w:lang w:eastAsia="de-DE"/>
            </w:rPr>
          </w:pPr>
          <w:hyperlink w:anchor="_Toc491418258" w:history="1">
            <w:r w:rsidRPr="009931B4">
              <w:rPr>
                <w:rStyle w:val="Hyperlink"/>
              </w:rPr>
              <w:t>B.</w:t>
            </w:r>
            <w:r>
              <w:rPr>
                <w:rFonts w:asciiTheme="minorHAnsi" w:eastAsiaTheme="minorEastAsia" w:hAnsiTheme="minorHAnsi" w:cstheme="minorBidi"/>
                <w:b w:val="0"/>
                <w:bCs w:val="0"/>
                <w:sz w:val="22"/>
                <w:szCs w:val="22"/>
                <w:lang w:eastAsia="de-DE"/>
              </w:rPr>
              <w:tab/>
            </w:r>
            <w:r w:rsidRPr="009931B4">
              <w:rPr>
                <w:rStyle w:val="Hyperlink"/>
              </w:rPr>
              <w:t>Lernfähigkeit und Stabilisierung von Wissen in nicht förmlichen Verfahren</w:t>
            </w:r>
            <w:r>
              <w:rPr>
                <w:webHidden/>
              </w:rPr>
              <w:tab/>
            </w:r>
            <w:r>
              <w:rPr>
                <w:webHidden/>
              </w:rPr>
              <w:fldChar w:fldCharType="begin"/>
            </w:r>
            <w:r>
              <w:rPr>
                <w:webHidden/>
              </w:rPr>
              <w:instrText xml:space="preserve"> PAGEREF _Toc491418258 \h </w:instrText>
            </w:r>
            <w:r>
              <w:rPr>
                <w:webHidden/>
              </w:rPr>
            </w:r>
            <w:r>
              <w:rPr>
                <w:webHidden/>
              </w:rPr>
              <w:fldChar w:fldCharType="separate"/>
            </w:r>
            <w:r w:rsidR="00391ED7">
              <w:rPr>
                <w:webHidden/>
              </w:rPr>
              <w:t>59</w:t>
            </w:r>
            <w:r>
              <w:rPr>
                <w:webHidden/>
              </w:rPr>
              <w:fldChar w:fldCharType="end"/>
            </w:r>
          </w:hyperlink>
        </w:p>
        <w:p w:rsidR="004F4C7B" w:rsidRDefault="004F4C7B">
          <w:pPr>
            <w:pStyle w:val="Verzeichnis2"/>
            <w:tabs>
              <w:tab w:val="left" w:pos="964"/>
            </w:tabs>
            <w:rPr>
              <w:rFonts w:asciiTheme="minorHAnsi" w:eastAsiaTheme="minorEastAsia" w:hAnsiTheme="minorHAnsi" w:cstheme="minorBidi"/>
              <w:bCs w:val="0"/>
              <w:noProof/>
              <w:sz w:val="22"/>
              <w:szCs w:val="22"/>
              <w:lang w:eastAsia="de-DE"/>
            </w:rPr>
          </w:pPr>
          <w:hyperlink w:anchor="_Toc491418259" w:history="1">
            <w:r w:rsidRPr="009931B4">
              <w:rPr>
                <w:rStyle w:val="Hyperlink"/>
                <w:noProof/>
              </w:rPr>
              <w:t>I.</w:t>
            </w:r>
            <w:r>
              <w:rPr>
                <w:rFonts w:asciiTheme="minorHAnsi" w:eastAsiaTheme="minorEastAsia" w:hAnsiTheme="minorHAnsi" w:cstheme="minorBidi"/>
                <w:bCs w:val="0"/>
                <w:noProof/>
                <w:sz w:val="22"/>
                <w:szCs w:val="22"/>
                <w:lang w:eastAsia="de-DE"/>
              </w:rPr>
              <w:tab/>
            </w:r>
            <w:r w:rsidRPr="009931B4">
              <w:rPr>
                <w:rStyle w:val="Hyperlink"/>
                <w:noProof/>
              </w:rPr>
              <w:t>Beispiel: IT-Sicherheit im Smart Grid</w:t>
            </w:r>
            <w:r>
              <w:rPr>
                <w:noProof/>
                <w:webHidden/>
              </w:rPr>
              <w:tab/>
            </w:r>
            <w:r>
              <w:rPr>
                <w:noProof/>
                <w:webHidden/>
              </w:rPr>
              <w:fldChar w:fldCharType="begin"/>
            </w:r>
            <w:r>
              <w:rPr>
                <w:noProof/>
                <w:webHidden/>
              </w:rPr>
              <w:instrText xml:space="preserve"> PAGEREF _Toc491418259 \h </w:instrText>
            </w:r>
            <w:r>
              <w:rPr>
                <w:noProof/>
                <w:webHidden/>
              </w:rPr>
            </w:r>
            <w:r>
              <w:rPr>
                <w:noProof/>
                <w:webHidden/>
              </w:rPr>
              <w:fldChar w:fldCharType="separate"/>
            </w:r>
            <w:r w:rsidR="00391ED7">
              <w:rPr>
                <w:noProof/>
                <w:webHidden/>
              </w:rPr>
              <w:t>60</w:t>
            </w:r>
            <w:r>
              <w:rPr>
                <w:noProof/>
                <w:webHidden/>
              </w:rPr>
              <w:fldChar w:fldCharType="end"/>
            </w:r>
          </w:hyperlink>
        </w:p>
        <w:p w:rsidR="004F4C7B" w:rsidRDefault="004F4C7B">
          <w:pPr>
            <w:pStyle w:val="Verzeichnis2"/>
            <w:tabs>
              <w:tab w:val="left" w:pos="964"/>
            </w:tabs>
            <w:rPr>
              <w:rFonts w:asciiTheme="minorHAnsi" w:eastAsiaTheme="minorEastAsia" w:hAnsiTheme="minorHAnsi" w:cstheme="minorBidi"/>
              <w:bCs w:val="0"/>
              <w:noProof/>
              <w:sz w:val="22"/>
              <w:szCs w:val="22"/>
              <w:lang w:eastAsia="de-DE"/>
            </w:rPr>
          </w:pPr>
          <w:hyperlink w:anchor="_Toc491418260" w:history="1">
            <w:r w:rsidRPr="009931B4">
              <w:rPr>
                <w:rStyle w:val="Hyperlink"/>
                <w:noProof/>
              </w:rPr>
              <w:t>II.</w:t>
            </w:r>
            <w:r>
              <w:rPr>
                <w:rFonts w:asciiTheme="minorHAnsi" w:eastAsiaTheme="minorEastAsia" w:hAnsiTheme="minorHAnsi" w:cstheme="minorBidi"/>
                <w:bCs w:val="0"/>
                <w:noProof/>
                <w:sz w:val="22"/>
                <w:szCs w:val="22"/>
                <w:lang w:eastAsia="de-DE"/>
              </w:rPr>
              <w:tab/>
            </w:r>
            <w:r w:rsidRPr="009931B4">
              <w:rPr>
                <w:rStyle w:val="Hyperlink"/>
                <w:noProof/>
              </w:rPr>
              <w:t>Beispiel: Orientierungshilfe datenschutzgerechtes Smart Metering</w:t>
            </w:r>
            <w:r>
              <w:rPr>
                <w:noProof/>
                <w:webHidden/>
              </w:rPr>
              <w:tab/>
            </w:r>
            <w:r>
              <w:rPr>
                <w:noProof/>
                <w:webHidden/>
              </w:rPr>
              <w:fldChar w:fldCharType="begin"/>
            </w:r>
            <w:r>
              <w:rPr>
                <w:noProof/>
                <w:webHidden/>
              </w:rPr>
              <w:instrText xml:space="preserve"> PAGEREF _Toc491418260 \h </w:instrText>
            </w:r>
            <w:r>
              <w:rPr>
                <w:noProof/>
                <w:webHidden/>
              </w:rPr>
            </w:r>
            <w:r>
              <w:rPr>
                <w:noProof/>
                <w:webHidden/>
              </w:rPr>
              <w:fldChar w:fldCharType="separate"/>
            </w:r>
            <w:r w:rsidR="00391ED7">
              <w:rPr>
                <w:noProof/>
                <w:webHidden/>
              </w:rPr>
              <w:t>63</w:t>
            </w:r>
            <w:r>
              <w:rPr>
                <w:noProof/>
                <w:webHidden/>
              </w:rPr>
              <w:fldChar w:fldCharType="end"/>
            </w:r>
          </w:hyperlink>
        </w:p>
        <w:p w:rsidR="00900B4D" w:rsidRDefault="004F4C7B" w:rsidP="004F4C7B">
          <w:pPr>
            <w:pStyle w:val="Verzeichnis1"/>
          </w:pPr>
          <w:hyperlink w:anchor="_Toc491418261" w:history="1">
            <w:r w:rsidRPr="009931B4">
              <w:rPr>
                <w:rStyle w:val="Hyperlink"/>
              </w:rPr>
              <w:t>Literaturverzeichnis</w:t>
            </w:r>
            <w:r>
              <w:rPr>
                <w:webHidden/>
              </w:rPr>
              <w:tab/>
            </w:r>
            <w:r>
              <w:rPr>
                <w:webHidden/>
              </w:rPr>
              <w:fldChar w:fldCharType="begin"/>
            </w:r>
            <w:r>
              <w:rPr>
                <w:webHidden/>
              </w:rPr>
              <w:instrText xml:space="preserve"> PAGEREF _Toc491418261 \h </w:instrText>
            </w:r>
            <w:r>
              <w:rPr>
                <w:webHidden/>
              </w:rPr>
            </w:r>
            <w:r>
              <w:rPr>
                <w:webHidden/>
              </w:rPr>
              <w:fldChar w:fldCharType="separate"/>
            </w:r>
            <w:r w:rsidR="00391ED7">
              <w:rPr>
                <w:webHidden/>
              </w:rPr>
              <w:t>67</w:t>
            </w:r>
            <w:r>
              <w:rPr>
                <w:webHidden/>
              </w:rPr>
              <w:fldChar w:fldCharType="end"/>
            </w:r>
          </w:hyperlink>
          <w:r w:rsidR="00900B4D">
            <w:rPr>
              <w:b w:val="0"/>
              <w:bCs w:val="0"/>
            </w:rPr>
            <w:fldChar w:fldCharType="end"/>
          </w:r>
        </w:p>
      </w:sdtContent>
    </w:sdt>
    <w:p w:rsidR="00900B4D" w:rsidRPr="00AC7B0C" w:rsidRDefault="00900B4D" w:rsidP="00AC7B0C"/>
    <w:p w:rsidR="00AC7B0C" w:rsidRDefault="00AC7B0C" w:rsidP="00AC7B0C">
      <w:pPr>
        <w:pStyle w:val="berschrift1ohneNummer"/>
        <w:sectPr w:rsidR="00AC7B0C" w:rsidSect="00F8546B">
          <w:footnotePr>
            <w:numRestart w:val="eachSect"/>
          </w:footnotePr>
          <w:type w:val="oddPage"/>
          <w:pgSz w:w="11906" w:h="16838" w:code="9"/>
          <w:pgMar w:top="2041" w:right="1304" w:bottom="2041" w:left="1985" w:header="1134" w:footer="1134" w:gutter="0"/>
          <w:pgNumType w:fmt="upperRoman"/>
          <w:cols w:space="708"/>
          <w:titlePg/>
          <w:docGrid w:linePitch="360"/>
        </w:sectPr>
      </w:pPr>
    </w:p>
    <w:p w:rsidR="00C0673B" w:rsidRPr="00900B4D" w:rsidRDefault="00C0673B" w:rsidP="00AC7B0C">
      <w:pPr>
        <w:pStyle w:val="berschrift1ohneNummer"/>
        <w:rPr>
          <w:lang w:val="de-DE"/>
        </w:rPr>
      </w:pPr>
      <w:bookmarkStart w:id="6" w:name="_Toc491418245"/>
      <w:r w:rsidRPr="00900B4D">
        <w:rPr>
          <w:lang w:val="de-DE"/>
        </w:rPr>
        <w:lastRenderedPageBreak/>
        <w:t>Abkürzungsverzeichnis</w:t>
      </w:r>
      <w:bookmarkEnd w:id="6"/>
    </w:p>
    <w:p w:rsidR="000D16F2" w:rsidRPr="006D10B6" w:rsidRDefault="000D16F2" w:rsidP="0069255D">
      <w:pPr>
        <w:pStyle w:val="Abkrzungsverzeichnis"/>
      </w:pPr>
      <w:r w:rsidRPr="006D10B6">
        <w:t>a. A.</w:t>
      </w:r>
      <w:r w:rsidRPr="006D10B6">
        <w:tab/>
        <w:t>anderer Ansicht</w:t>
      </w:r>
    </w:p>
    <w:p w:rsidR="000D16F2" w:rsidRPr="006D10B6" w:rsidRDefault="000D16F2" w:rsidP="0069255D">
      <w:pPr>
        <w:pStyle w:val="Abkrzungsverzeichnis"/>
      </w:pPr>
      <w:r w:rsidRPr="006D10B6">
        <w:t>a. E.</w:t>
      </w:r>
      <w:r w:rsidRPr="006D10B6">
        <w:tab/>
        <w:t>am Ende</w:t>
      </w:r>
    </w:p>
    <w:p w:rsidR="000D16F2" w:rsidRPr="006D10B6" w:rsidRDefault="000D16F2" w:rsidP="0069255D">
      <w:pPr>
        <w:pStyle w:val="Abkrzungsverzeichnis"/>
      </w:pPr>
      <w:r w:rsidRPr="006D10B6">
        <w:t>a. F.</w:t>
      </w:r>
      <w:r w:rsidRPr="006D10B6">
        <w:tab/>
        <w:t>alte Fassung</w:t>
      </w:r>
    </w:p>
    <w:p w:rsidR="000D16F2" w:rsidRPr="006D10B6" w:rsidRDefault="000D16F2" w:rsidP="0069255D">
      <w:pPr>
        <w:pStyle w:val="Abkrzungsverzeichnis"/>
      </w:pPr>
      <w:r w:rsidRPr="006D10B6">
        <w:t>ABl.</w:t>
      </w:r>
      <w:r w:rsidRPr="006D10B6">
        <w:tab/>
        <w:t>Amtsblatt der Europäischen Union</w:t>
      </w:r>
    </w:p>
    <w:p w:rsidR="000D16F2" w:rsidRPr="006D10B6" w:rsidRDefault="000D16F2" w:rsidP="0069255D">
      <w:pPr>
        <w:pStyle w:val="Abkrzungsverzeichnis"/>
      </w:pPr>
      <w:r w:rsidRPr="006D10B6">
        <w:t>Abs.</w:t>
      </w:r>
      <w:r w:rsidRPr="006D10B6">
        <w:tab/>
        <w:t>Absatz</w:t>
      </w:r>
    </w:p>
    <w:p w:rsidR="000D16F2" w:rsidRPr="006D10B6" w:rsidRDefault="000D16F2" w:rsidP="0069255D">
      <w:pPr>
        <w:pStyle w:val="Abkrzungsverzeichnis"/>
      </w:pPr>
      <w:r w:rsidRPr="006D10B6">
        <w:t>AöR</w:t>
      </w:r>
      <w:r w:rsidRPr="006D10B6">
        <w:tab/>
        <w:t>Archiv des öffentlichen Rechts</w:t>
      </w:r>
    </w:p>
    <w:p w:rsidR="000D16F2" w:rsidRPr="006D10B6" w:rsidRDefault="000D16F2" w:rsidP="0069255D">
      <w:pPr>
        <w:pStyle w:val="Abkrzungsverzeichnis"/>
      </w:pPr>
      <w:r w:rsidRPr="006D10B6">
        <w:t>Art.</w:t>
      </w:r>
      <w:r w:rsidRPr="006D10B6">
        <w:tab/>
        <w:t>Artikel</w:t>
      </w:r>
    </w:p>
    <w:p w:rsidR="000D16F2" w:rsidRPr="006D10B6" w:rsidRDefault="000D16F2" w:rsidP="0069255D">
      <w:pPr>
        <w:pStyle w:val="Abkrzungsverzeichnis"/>
      </w:pPr>
      <w:r w:rsidRPr="006D10B6">
        <w:t>Az.</w:t>
      </w:r>
      <w:r w:rsidRPr="006D10B6">
        <w:tab/>
        <w:t>Aktenzeichen</w:t>
      </w:r>
    </w:p>
    <w:p w:rsidR="000D16F2" w:rsidRPr="006D10B6" w:rsidRDefault="000D16F2" w:rsidP="0069255D">
      <w:pPr>
        <w:pStyle w:val="Abkrzungsverzeichnis"/>
      </w:pPr>
      <w:r w:rsidRPr="006D10B6">
        <w:t>BDSG</w:t>
      </w:r>
      <w:r w:rsidRPr="006D10B6">
        <w:tab/>
        <w:t>Bundesdatenschutzgesetz</w:t>
      </w:r>
    </w:p>
    <w:p w:rsidR="000D16F2" w:rsidRPr="006D10B6" w:rsidRDefault="000D16F2" w:rsidP="0069255D">
      <w:pPr>
        <w:pStyle w:val="Abkrzungsverzeichnis"/>
      </w:pPr>
      <w:r w:rsidRPr="006D10B6">
        <w:t>BfDI</w:t>
      </w:r>
      <w:r w:rsidRPr="006D10B6">
        <w:tab/>
        <w:t>Bundesbeauftragte(r) für den Datenschutz und die Informationsfreiheit</w:t>
      </w:r>
    </w:p>
    <w:p w:rsidR="000D16F2" w:rsidRPr="006D10B6" w:rsidRDefault="000D16F2" w:rsidP="0069255D">
      <w:pPr>
        <w:pStyle w:val="Abkrzungsverzeichnis"/>
      </w:pPr>
      <w:r w:rsidRPr="006D10B6">
        <w:t>BGB</w:t>
      </w:r>
      <w:r w:rsidRPr="006D10B6">
        <w:tab/>
        <w:t>Bürgerliches Gesetzbuch</w:t>
      </w:r>
    </w:p>
    <w:p w:rsidR="000D16F2" w:rsidRPr="006D10B6" w:rsidRDefault="000D16F2" w:rsidP="0069255D">
      <w:pPr>
        <w:pStyle w:val="Abkrzungsverzeichnis"/>
      </w:pPr>
      <w:r w:rsidRPr="006D10B6">
        <w:t>BGBl.</w:t>
      </w:r>
      <w:r w:rsidRPr="006D10B6">
        <w:tab/>
        <w:t>Bundesgesetzblatt</w:t>
      </w:r>
    </w:p>
    <w:p w:rsidR="000D16F2" w:rsidRPr="006D10B6" w:rsidRDefault="000D16F2" w:rsidP="0069255D">
      <w:pPr>
        <w:pStyle w:val="Abkrzungsverzeichnis"/>
      </w:pPr>
      <w:r w:rsidRPr="006D10B6">
        <w:t>BGH</w:t>
      </w:r>
      <w:r w:rsidRPr="006D10B6">
        <w:tab/>
        <w:t>Bundesgerichtshof</w:t>
      </w:r>
    </w:p>
    <w:p w:rsidR="000D16F2" w:rsidRPr="006D10B6" w:rsidRDefault="000D16F2" w:rsidP="0069255D">
      <w:pPr>
        <w:pStyle w:val="Abkrzungsverzeichnis"/>
      </w:pPr>
      <w:r w:rsidRPr="006D10B6">
        <w:t>BMI</w:t>
      </w:r>
      <w:r w:rsidRPr="006D10B6">
        <w:tab/>
        <w:t>Bundesministerium des Innern</w:t>
      </w:r>
    </w:p>
    <w:p w:rsidR="000D16F2" w:rsidRPr="006D10B6" w:rsidRDefault="000D16F2" w:rsidP="0069255D">
      <w:pPr>
        <w:pStyle w:val="Abkrzungsverzeichnis"/>
      </w:pPr>
      <w:r w:rsidRPr="006D10B6">
        <w:t>BMWi</w:t>
      </w:r>
      <w:r w:rsidRPr="006D10B6">
        <w:tab/>
        <w:t>Bundesministerium für Wirtschaft und Energie</w:t>
      </w:r>
    </w:p>
    <w:p w:rsidR="000D16F2" w:rsidRPr="006D10B6" w:rsidRDefault="000D16F2" w:rsidP="0069255D">
      <w:pPr>
        <w:pStyle w:val="Abkrzungsverzeichnis"/>
      </w:pPr>
      <w:r w:rsidRPr="006D10B6">
        <w:t>BNetzA</w:t>
      </w:r>
      <w:r w:rsidRPr="006D10B6">
        <w:tab/>
        <w:t>Bundesnetzagentur</w:t>
      </w:r>
    </w:p>
    <w:p w:rsidR="000D16F2" w:rsidRPr="006D10B6" w:rsidRDefault="000D16F2" w:rsidP="0069255D">
      <w:pPr>
        <w:pStyle w:val="Abkrzungsverzeichnis"/>
      </w:pPr>
      <w:r w:rsidRPr="006D10B6">
        <w:t>BR-Drs.</w:t>
      </w:r>
      <w:r w:rsidRPr="006D10B6">
        <w:tab/>
        <w:t>Bundesratsdrucksache</w:t>
      </w:r>
    </w:p>
    <w:p w:rsidR="000D16F2" w:rsidRPr="006D10B6" w:rsidRDefault="000D16F2" w:rsidP="0069255D">
      <w:pPr>
        <w:pStyle w:val="Abkrzungsverzeichnis"/>
      </w:pPr>
      <w:r w:rsidRPr="006D10B6">
        <w:t>BSI</w:t>
      </w:r>
      <w:r w:rsidRPr="006D10B6">
        <w:tab/>
        <w:t>Bundesamt für Sicherheit in der Informationstechnik</w:t>
      </w:r>
    </w:p>
    <w:p w:rsidR="000D16F2" w:rsidRPr="006D10B6" w:rsidRDefault="000D16F2" w:rsidP="0069255D">
      <w:pPr>
        <w:pStyle w:val="Abkrzungsverzeichnis"/>
      </w:pPr>
      <w:r w:rsidRPr="006D10B6">
        <w:t>BSIG</w:t>
      </w:r>
      <w:r w:rsidRPr="006D10B6">
        <w:tab/>
        <w:t>BSI-Gesetz</w:t>
      </w:r>
    </w:p>
    <w:p w:rsidR="000D16F2" w:rsidRPr="006D10B6" w:rsidRDefault="000D16F2" w:rsidP="0069255D">
      <w:pPr>
        <w:pStyle w:val="Abkrzungsverzeichnis"/>
      </w:pPr>
      <w:r w:rsidRPr="006D10B6">
        <w:lastRenderedPageBreak/>
        <w:t>BT-Drs.</w:t>
      </w:r>
      <w:r w:rsidRPr="006D10B6">
        <w:tab/>
        <w:t>Bundestagsdrucksache</w:t>
      </w:r>
    </w:p>
    <w:p w:rsidR="000D16F2" w:rsidRPr="006D10B6" w:rsidRDefault="000D16F2" w:rsidP="0069255D">
      <w:pPr>
        <w:pStyle w:val="Abkrzungsverzeichnis"/>
      </w:pPr>
      <w:r w:rsidRPr="006D10B6">
        <w:t>BVerfG</w:t>
      </w:r>
      <w:r w:rsidRPr="006D10B6">
        <w:tab/>
        <w:t>Bundesverfassungsgericht</w:t>
      </w:r>
    </w:p>
    <w:p w:rsidR="000407A5" w:rsidRPr="006D10B6" w:rsidRDefault="000407A5" w:rsidP="0069255D">
      <w:pPr>
        <w:pStyle w:val="Abkrzungsverzeichnis"/>
      </w:pPr>
      <w:r w:rsidRPr="006D10B6">
        <w:t>CC</w:t>
      </w:r>
      <w:r w:rsidRPr="006D10B6">
        <w:tab/>
        <w:t>Common Criteria</w:t>
      </w:r>
    </w:p>
    <w:p w:rsidR="000D16F2" w:rsidRPr="006D10B6" w:rsidRDefault="000D16F2" w:rsidP="0069255D">
      <w:pPr>
        <w:pStyle w:val="Abkrzungsverzeichnis"/>
      </w:pPr>
      <w:r w:rsidRPr="006D10B6">
        <w:t>CR</w:t>
      </w:r>
      <w:r w:rsidRPr="006D10B6">
        <w:tab/>
        <w:t>Computer und Recht</w:t>
      </w:r>
    </w:p>
    <w:p w:rsidR="000D16F2" w:rsidRPr="006D10B6" w:rsidRDefault="000D16F2" w:rsidP="0069255D">
      <w:pPr>
        <w:pStyle w:val="Abkrzungsverzeichnis"/>
      </w:pPr>
      <w:r w:rsidRPr="006D10B6">
        <w:t>DÖV</w:t>
      </w:r>
      <w:r w:rsidRPr="006D10B6">
        <w:tab/>
        <w:t>Zeitschrift für Öffentliches Rech</w:t>
      </w:r>
      <w:r w:rsidR="006D10B6">
        <w:t>t und Verwaltungswissenschaften</w:t>
      </w:r>
    </w:p>
    <w:p w:rsidR="000D16F2" w:rsidRPr="006D10B6" w:rsidRDefault="000D16F2" w:rsidP="0069255D">
      <w:pPr>
        <w:pStyle w:val="Abkrzungsverzeichnis"/>
      </w:pPr>
      <w:r w:rsidRPr="006D10B6">
        <w:t>DuD</w:t>
      </w:r>
      <w:r w:rsidRPr="006D10B6">
        <w:tab/>
        <w:t>Datenschutz und Datensicherheit</w:t>
      </w:r>
    </w:p>
    <w:p w:rsidR="000D16F2" w:rsidRPr="006D10B6" w:rsidRDefault="000D16F2" w:rsidP="0069255D">
      <w:pPr>
        <w:pStyle w:val="Abkrzungsverzeichnis"/>
      </w:pPr>
      <w:r w:rsidRPr="006D10B6">
        <w:t>DV</w:t>
      </w:r>
      <w:r w:rsidRPr="006D10B6">
        <w:tab/>
        <w:t>Die Verwaltung</w:t>
      </w:r>
    </w:p>
    <w:p w:rsidR="000407A5" w:rsidRPr="006D10B6" w:rsidRDefault="000407A5" w:rsidP="0069255D">
      <w:pPr>
        <w:pStyle w:val="Abkrzungsverzeichnis"/>
        <w:rPr>
          <w:lang w:val="en-US"/>
        </w:rPr>
      </w:pPr>
      <w:proofErr w:type="gramStart"/>
      <w:r w:rsidRPr="006D10B6">
        <w:rPr>
          <w:lang w:val="en-US"/>
        </w:rPr>
        <w:t>DVBl.</w:t>
      </w:r>
      <w:proofErr w:type="gramEnd"/>
      <w:r w:rsidRPr="006D10B6">
        <w:rPr>
          <w:lang w:val="en-US"/>
        </w:rPr>
        <w:t xml:space="preserve"> </w:t>
      </w:r>
      <w:r w:rsidRPr="006D10B6">
        <w:rPr>
          <w:lang w:val="en-US"/>
        </w:rPr>
        <w:tab/>
        <w:t>Deutsches Verwaltungsblatt</w:t>
      </w:r>
    </w:p>
    <w:p w:rsidR="000D16F2" w:rsidRPr="006D10B6" w:rsidRDefault="000D16F2" w:rsidP="0069255D">
      <w:pPr>
        <w:pStyle w:val="Abkrzungsverzeichnis"/>
        <w:rPr>
          <w:lang w:val="en-US"/>
        </w:rPr>
      </w:pPr>
      <w:r w:rsidRPr="006D10B6">
        <w:rPr>
          <w:lang w:val="en-US"/>
        </w:rPr>
        <w:t>EDIFACT</w:t>
      </w:r>
      <w:r w:rsidRPr="006D10B6">
        <w:rPr>
          <w:lang w:val="en-US"/>
        </w:rPr>
        <w:tab/>
        <w:t>Electronic Data Interchange for Administration, Commerce and Transport</w:t>
      </w:r>
    </w:p>
    <w:p w:rsidR="000D16F2" w:rsidRPr="006D10B6" w:rsidRDefault="000D16F2" w:rsidP="0069255D">
      <w:pPr>
        <w:pStyle w:val="Abkrzungsverzeichnis"/>
      </w:pPr>
      <w:r w:rsidRPr="006D10B6">
        <w:t>EDV</w:t>
      </w:r>
      <w:r w:rsidRPr="006D10B6">
        <w:tab/>
        <w:t>Elektronische Datenverarbeitung</w:t>
      </w:r>
    </w:p>
    <w:p w:rsidR="000D16F2" w:rsidRPr="006D10B6" w:rsidRDefault="000D16F2" w:rsidP="0069255D">
      <w:pPr>
        <w:pStyle w:val="Abkrzungsverzeichnis"/>
      </w:pPr>
      <w:r w:rsidRPr="006D10B6">
        <w:t>EG</w:t>
      </w:r>
      <w:r w:rsidRPr="006D10B6">
        <w:tab/>
        <w:t>Europäische Gemeinschaft</w:t>
      </w:r>
    </w:p>
    <w:p w:rsidR="000D16F2" w:rsidRPr="006D10B6" w:rsidRDefault="000D16F2" w:rsidP="0069255D">
      <w:pPr>
        <w:pStyle w:val="Abkrzungsverzeichnis"/>
      </w:pPr>
      <w:r w:rsidRPr="006D10B6">
        <w:t>EnWG</w:t>
      </w:r>
      <w:r w:rsidRPr="006D10B6">
        <w:tab/>
        <w:t>Energiewirtschaftsgesetz</w:t>
      </w:r>
    </w:p>
    <w:p w:rsidR="000D16F2" w:rsidRPr="006D10B6" w:rsidRDefault="000D16F2" w:rsidP="0069255D">
      <w:pPr>
        <w:pStyle w:val="Abkrzungsverzeichnis"/>
      </w:pPr>
      <w:r w:rsidRPr="006D10B6">
        <w:t>ErwGr.</w:t>
      </w:r>
      <w:r w:rsidRPr="006D10B6">
        <w:tab/>
        <w:t>Erwägungsgrund</w:t>
      </w:r>
    </w:p>
    <w:p w:rsidR="000D16F2" w:rsidRPr="006D10B6" w:rsidRDefault="000D16F2" w:rsidP="0069255D">
      <w:pPr>
        <w:pStyle w:val="Abkrzungsverzeichnis"/>
      </w:pPr>
      <w:r w:rsidRPr="006D10B6">
        <w:t>EU</w:t>
      </w:r>
      <w:r w:rsidRPr="006D10B6">
        <w:tab/>
        <w:t>Europäische Union</w:t>
      </w:r>
    </w:p>
    <w:p w:rsidR="000D16F2" w:rsidRPr="006D10B6" w:rsidRDefault="000D16F2" w:rsidP="0069255D">
      <w:pPr>
        <w:pStyle w:val="Abkrzungsverzeichnis"/>
      </w:pPr>
      <w:r w:rsidRPr="006D10B6">
        <w:t>EUV</w:t>
      </w:r>
      <w:r w:rsidRPr="006D10B6">
        <w:tab/>
        <w:t>Vertrag über die Europäische Union</w:t>
      </w:r>
    </w:p>
    <w:p w:rsidR="000D16F2" w:rsidRPr="006D10B6" w:rsidRDefault="000D16F2" w:rsidP="0069255D">
      <w:pPr>
        <w:pStyle w:val="Abkrzungsverzeichnis"/>
      </w:pPr>
      <w:r w:rsidRPr="006D10B6">
        <w:t>EVU</w:t>
      </w:r>
      <w:r w:rsidRPr="006D10B6">
        <w:tab/>
        <w:t>Energieversorgungsunternehmen</w:t>
      </w:r>
    </w:p>
    <w:p w:rsidR="000D16F2" w:rsidRPr="006D10B6" w:rsidRDefault="000D16F2" w:rsidP="0069255D">
      <w:pPr>
        <w:pStyle w:val="Abkrzungsverzeichnis"/>
      </w:pPr>
      <w:r w:rsidRPr="006D10B6">
        <w:t>f./ ff.</w:t>
      </w:r>
      <w:r w:rsidRPr="006D10B6">
        <w:tab/>
        <w:t>folgende</w:t>
      </w:r>
    </w:p>
    <w:p w:rsidR="000D16F2" w:rsidRPr="006D10B6" w:rsidRDefault="000D16F2" w:rsidP="0069255D">
      <w:pPr>
        <w:pStyle w:val="Abkrzungsverzeichnis"/>
      </w:pPr>
      <w:r w:rsidRPr="006D10B6">
        <w:t>Fn.</w:t>
      </w:r>
      <w:r w:rsidRPr="006D10B6">
        <w:tab/>
        <w:t>Fußnote</w:t>
      </w:r>
    </w:p>
    <w:p w:rsidR="000D16F2" w:rsidRPr="006D10B6" w:rsidRDefault="000D16F2" w:rsidP="0069255D">
      <w:pPr>
        <w:pStyle w:val="Abkrzungsverzeichnis"/>
      </w:pPr>
      <w:r w:rsidRPr="006D10B6">
        <w:t>GPKE</w:t>
      </w:r>
      <w:r w:rsidRPr="006D10B6">
        <w:tab/>
        <w:t>Geschäftsprozesse zur Kundenbelieferung mit Elektrizität</w:t>
      </w:r>
    </w:p>
    <w:p w:rsidR="000D16F2" w:rsidRPr="006D10B6" w:rsidRDefault="000D16F2" w:rsidP="0069255D">
      <w:pPr>
        <w:pStyle w:val="Abkrzungsverzeichnis"/>
        <w:rPr>
          <w:lang w:val="en-US"/>
        </w:rPr>
      </w:pPr>
      <w:r w:rsidRPr="006D10B6">
        <w:rPr>
          <w:lang w:val="en-US"/>
        </w:rPr>
        <w:t>HAN</w:t>
      </w:r>
      <w:r w:rsidRPr="006D10B6">
        <w:rPr>
          <w:lang w:val="en-US"/>
        </w:rPr>
        <w:tab/>
        <w:t>Home Area Network/ Heimnetzwerk</w:t>
      </w:r>
    </w:p>
    <w:p w:rsidR="000D16F2" w:rsidRPr="006D10B6" w:rsidRDefault="000D16F2" w:rsidP="0069255D">
      <w:pPr>
        <w:pStyle w:val="Abkrzungsverzeichnis"/>
      </w:pPr>
      <w:r w:rsidRPr="006D10B6">
        <w:rPr>
          <w:lang w:val="en-US"/>
        </w:rPr>
        <w:lastRenderedPageBreak/>
        <w:t>Hrsg.</w:t>
      </w:r>
      <w:r w:rsidRPr="006D10B6">
        <w:rPr>
          <w:lang w:val="en-US"/>
        </w:rPr>
        <w:tab/>
      </w:r>
      <w:r w:rsidRPr="006D10B6">
        <w:t>Herausgeber</w:t>
      </w:r>
    </w:p>
    <w:p w:rsidR="000D16F2" w:rsidRPr="006D10B6" w:rsidRDefault="000D16F2" w:rsidP="0069255D">
      <w:pPr>
        <w:pStyle w:val="Abkrzungsverzeichnis"/>
      </w:pPr>
      <w:r w:rsidRPr="006D10B6">
        <w:t>Hs.</w:t>
      </w:r>
      <w:r w:rsidRPr="006D10B6">
        <w:tab/>
        <w:t>Halbsatz</w:t>
      </w:r>
    </w:p>
    <w:p w:rsidR="000D16F2" w:rsidRPr="006D10B6" w:rsidRDefault="000D16F2" w:rsidP="0069255D">
      <w:pPr>
        <w:pStyle w:val="Abkrzungsverzeichnis"/>
      </w:pPr>
      <w:r w:rsidRPr="006D10B6">
        <w:t>i. d. R.</w:t>
      </w:r>
      <w:r w:rsidRPr="006D10B6">
        <w:tab/>
        <w:t>in der Regel</w:t>
      </w:r>
    </w:p>
    <w:p w:rsidR="000D16F2" w:rsidRPr="006D10B6" w:rsidRDefault="000D16F2" w:rsidP="0069255D">
      <w:pPr>
        <w:pStyle w:val="Abkrzungsverzeichnis"/>
      </w:pPr>
      <w:r w:rsidRPr="006D10B6">
        <w:t>i. e. S.</w:t>
      </w:r>
      <w:r w:rsidRPr="006D10B6">
        <w:tab/>
        <w:t>im engeren Sinne</w:t>
      </w:r>
    </w:p>
    <w:p w:rsidR="000D16F2" w:rsidRPr="006D10B6" w:rsidRDefault="000D16F2" w:rsidP="0069255D">
      <w:pPr>
        <w:pStyle w:val="Abkrzungsverzeichnis"/>
      </w:pPr>
      <w:r w:rsidRPr="006D10B6">
        <w:t>i. S. d.</w:t>
      </w:r>
      <w:r w:rsidRPr="006D10B6">
        <w:tab/>
        <w:t>im Sinne des</w:t>
      </w:r>
    </w:p>
    <w:p w:rsidR="000D16F2" w:rsidRPr="006D10B6" w:rsidRDefault="000D16F2" w:rsidP="0069255D">
      <w:pPr>
        <w:pStyle w:val="Abkrzungsverzeichnis"/>
      </w:pPr>
      <w:r w:rsidRPr="006D10B6">
        <w:t>i. V. m.</w:t>
      </w:r>
      <w:r w:rsidRPr="006D10B6">
        <w:tab/>
        <w:t>in Verbindung mit</w:t>
      </w:r>
    </w:p>
    <w:p w:rsidR="000D16F2" w:rsidRPr="006D10B6" w:rsidRDefault="000D16F2" w:rsidP="0069255D">
      <w:pPr>
        <w:pStyle w:val="Abkrzungsverzeichnis"/>
      </w:pPr>
      <w:r w:rsidRPr="006D10B6">
        <w:t>i. w. S.</w:t>
      </w:r>
      <w:r w:rsidRPr="006D10B6">
        <w:tab/>
        <w:t>im weiteren Sinne</w:t>
      </w:r>
    </w:p>
    <w:p w:rsidR="000D16F2" w:rsidRPr="006D10B6" w:rsidRDefault="000D16F2" w:rsidP="0069255D">
      <w:pPr>
        <w:pStyle w:val="Abkrzungsverzeichnis"/>
      </w:pPr>
      <w:r w:rsidRPr="006D10B6">
        <w:t>IFE</w:t>
      </w:r>
      <w:r w:rsidRPr="006D10B6">
        <w:tab/>
        <w:t>Informatik - Forschung und Entwicklung</w:t>
      </w:r>
    </w:p>
    <w:p w:rsidR="000D16F2" w:rsidRPr="006D10B6" w:rsidRDefault="000D16F2" w:rsidP="0069255D">
      <w:pPr>
        <w:pStyle w:val="Abkrzungsverzeichnis"/>
      </w:pPr>
      <w:r w:rsidRPr="006D10B6">
        <w:t>IKT</w:t>
      </w:r>
      <w:r w:rsidRPr="006D10B6">
        <w:tab/>
        <w:t>Informations- und Kommunikationstechnologie</w:t>
      </w:r>
    </w:p>
    <w:p w:rsidR="000D16F2" w:rsidRPr="006D10B6" w:rsidRDefault="000D16F2" w:rsidP="0069255D">
      <w:pPr>
        <w:pStyle w:val="Abkrzungsverzeichnis"/>
      </w:pPr>
      <w:r w:rsidRPr="006D10B6">
        <w:t>InTeR</w:t>
      </w:r>
      <w:r w:rsidRPr="006D10B6">
        <w:tab/>
        <w:t>Zeitschrift zum Innovations- und Technikrecht</w:t>
      </w:r>
    </w:p>
    <w:p w:rsidR="000D16F2" w:rsidRPr="006D10B6" w:rsidRDefault="000D16F2" w:rsidP="0069255D">
      <w:pPr>
        <w:pStyle w:val="Abkrzungsverzeichnis"/>
      </w:pPr>
      <w:r w:rsidRPr="006D10B6">
        <w:t>K&amp;R</w:t>
      </w:r>
      <w:r w:rsidRPr="006D10B6">
        <w:tab/>
        <w:t>Kommunikation &amp; Recht</w:t>
      </w:r>
    </w:p>
    <w:p w:rsidR="000D16F2" w:rsidRPr="006D10B6" w:rsidRDefault="000D16F2" w:rsidP="0069255D">
      <w:pPr>
        <w:pStyle w:val="Abkrzungsverzeichnis"/>
      </w:pPr>
      <w:r w:rsidRPr="006D10B6">
        <w:t>KOM</w:t>
      </w:r>
      <w:r w:rsidRPr="006D10B6">
        <w:tab/>
        <w:t>Kommission</w:t>
      </w:r>
    </w:p>
    <w:p w:rsidR="000D16F2" w:rsidRPr="006D10B6" w:rsidRDefault="000D16F2" w:rsidP="0069255D">
      <w:pPr>
        <w:pStyle w:val="Abkrzungsverzeichnis"/>
      </w:pPr>
      <w:r w:rsidRPr="006D10B6">
        <w:t>kW(h)</w:t>
      </w:r>
      <w:r w:rsidRPr="006D10B6">
        <w:tab/>
        <w:t>Kilowatt(stunde)</w:t>
      </w:r>
    </w:p>
    <w:p w:rsidR="000D16F2" w:rsidRPr="006D10B6" w:rsidRDefault="000D16F2" w:rsidP="0069255D">
      <w:pPr>
        <w:pStyle w:val="Abkrzungsverzeichnis"/>
      </w:pPr>
      <w:r w:rsidRPr="006D10B6">
        <w:t>LF</w:t>
      </w:r>
      <w:r w:rsidRPr="006D10B6">
        <w:tab/>
        <w:t>Lieferant</w:t>
      </w:r>
    </w:p>
    <w:p w:rsidR="000D16F2" w:rsidRPr="006D10B6" w:rsidRDefault="000D16F2" w:rsidP="0069255D">
      <w:pPr>
        <w:pStyle w:val="Abkrzungsverzeichnis"/>
      </w:pPr>
      <w:r w:rsidRPr="006D10B6">
        <w:t>LG</w:t>
      </w:r>
      <w:r w:rsidRPr="006D10B6">
        <w:tab/>
        <w:t>Landgericht</w:t>
      </w:r>
    </w:p>
    <w:p w:rsidR="000D16F2" w:rsidRPr="006D10B6" w:rsidRDefault="000D16F2" w:rsidP="0069255D">
      <w:pPr>
        <w:pStyle w:val="Abkrzungsverzeichnis"/>
      </w:pPr>
      <w:r w:rsidRPr="006D10B6">
        <w:t>LMN</w:t>
      </w:r>
      <w:r w:rsidRPr="006D10B6">
        <w:tab/>
        <w:t xml:space="preserve">Local Metrological Network/ Lokales </w:t>
      </w:r>
      <w:r w:rsidR="00881EB9">
        <w:br/>
      </w:r>
      <w:r w:rsidRPr="006D10B6">
        <w:t>metrologisches Netz</w:t>
      </w:r>
    </w:p>
    <w:p w:rsidR="000D16F2" w:rsidRPr="006D10B6" w:rsidRDefault="000D16F2" w:rsidP="0069255D">
      <w:pPr>
        <w:pStyle w:val="Abkrzungsverzeichnis"/>
      </w:pPr>
      <w:r w:rsidRPr="006D10B6">
        <w:t>Ls.</w:t>
      </w:r>
      <w:r w:rsidRPr="006D10B6">
        <w:tab/>
        <w:t>Leitsatz</w:t>
      </w:r>
    </w:p>
    <w:p w:rsidR="000D16F2" w:rsidRPr="006D10B6" w:rsidRDefault="000D16F2" w:rsidP="0069255D">
      <w:pPr>
        <w:pStyle w:val="Abkrzungsverzeichnis"/>
      </w:pPr>
      <w:r w:rsidRPr="006D10B6">
        <w:t>m. w. N.</w:t>
      </w:r>
      <w:r w:rsidRPr="006D10B6">
        <w:tab/>
        <w:t>mit weiteren Nachweisen</w:t>
      </w:r>
    </w:p>
    <w:p w:rsidR="000D16F2" w:rsidRPr="006D10B6" w:rsidRDefault="000D16F2" w:rsidP="0069255D">
      <w:pPr>
        <w:pStyle w:val="Abkrzungsverzeichnis"/>
      </w:pPr>
      <w:r w:rsidRPr="006D10B6">
        <w:t>MaBiS</w:t>
      </w:r>
      <w:r w:rsidRPr="006D10B6">
        <w:tab/>
        <w:t>Marktregeln für die Durchführung der Bilanzkreisabrechnung Strom</w:t>
      </w:r>
    </w:p>
    <w:p w:rsidR="000D16F2" w:rsidRPr="006D10B6" w:rsidRDefault="000D16F2" w:rsidP="0069255D">
      <w:pPr>
        <w:pStyle w:val="Abkrzungsverzeichnis"/>
      </w:pPr>
      <w:r w:rsidRPr="006D10B6">
        <w:t>MessZV</w:t>
      </w:r>
      <w:r w:rsidRPr="006D10B6">
        <w:tab/>
        <w:t>Messzugangsverordnung</w:t>
      </w:r>
    </w:p>
    <w:p w:rsidR="000D16F2" w:rsidRPr="006D10B6" w:rsidRDefault="000D16F2" w:rsidP="0069255D">
      <w:pPr>
        <w:pStyle w:val="Abkrzungsverzeichnis"/>
      </w:pPr>
      <w:r w:rsidRPr="006D10B6">
        <w:lastRenderedPageBreak/>
        <w:t>MMR</w:t>
      </w:r>
      <w:r w:rsidRPr="006D10B6">
        <w:tab/>
        <w:t>Multimedia und Recht</w:t>
      </w:r>
    </w:p>
    <w:p w:rsidR="000D16F2" w:rsidRPr="006D10B6" w:rsidRDefault="000D16F2" w:rsidP="0069255D">
      <w:pPr>
        <w:pStyle w:val="Abkrzungsverzeichnis"/>
      </w:pPr>
      <w:r w:rsidRPr="006D10B6">
        <w:t>MSB</w:t>
      </w:r>
      <w:r w:rsidRPr="006D10B6">
        <w:tab/>
        <w:t>Messstellenbetreiber</w:t>
      </w:r>
    </w:p>
    <w:p w:rsidR="000D16F2" w:rsidRPr="006D10B6" w:rsidRDefault="000D16F2" w:rsidP="0069255D">
      <w:pPr>
        <w:pStyle w:val="Abkrzungsverzeichnis"/>
      </w:pPr>
      <w:r w:rsidRPr="006D10B6">
        <w:t>MsbG-E</w:t>
      </w:r>
      <w:r w:rsidRPr="006D10B6">
        <w:tab/>
        <w:t>Entwurf eines Messstellenbetriebsgesetzes</w:t>
      </w:r>
    </w:p>
    <w:p w:rsidR="000D16F2" w:rsidRPr="006D10B6" w:rsidRDefault="000D16F2" w:rsidP="0069255D">
      <w:pPr>
        <w:pStyle w:val="Abkrzungsverzeichnis"/>
        <w:rPr>
          <w:lang w:val="en-US"/>
        </w:rPr>
      </w:pPr>
      <w:r w:rsidRPr="006D10B6">
        <w:rPr>
          <w:lang w:val="en-US"/>
        </w:rPr>
        <w:t>MSCONS</w:t>
      </w:r>
      <w:r w:rsidRPr="006D10B6">
        <w:rPr>
          <w:lang w:val="en-US"/>
        </w:rPr>
        <w:tab/>
        <w:t>Metered Services Consumption report message</w:t>
      </w:r>
    </w:p>
    <w:p w:rsidR="000D16F2" w:rsidRPr="006D10B6" w:rsidRDefault="000D16F2" w:rsidP="0069255D">
      <w:pPr>
        <w:pStyle w:val="Abkrzungsverzeichnis"/>
      </w:pPr>
      <w:r w:rsidRPr="006D10B6">
        <w:t>MsysV-E</w:t>
      </w:r>
      <w:r w:rsidRPr="006D10B6">
        <w:tab/>
        <w:t>Entwurf einer Messsystemverordnung</w:t>
      </w:r>
    </w:p>
    <w:p w:rsidR="000D16F2" w:rsidRPr="006D10B6" w:rsidRDefault="000D16F2" w:rsidP="0069255D">
      <w:pPr>
        <w:pStyle w:val="Abkrzungsverzeichnis"/>
      </w:pPr>
      <w:r w:rsidRPr="006D10B6">
        <w:t>n. F.</w:t>
      </w:r>
      <w:r w:rsidRPr="006D10B6">
        <w:tab/>
        <w:t>neue Fassung</w:t>
      </w:r>
    </w:p>
    <w:p w:rsidR="000D16F2" w:rsidRPr="006D10B6" w:rsidRDefault="000D16F2" w:rsidP="0069255D">
      <w:pPr>
        <w:pStyle w:val="Abkrzungsverzeichnis"/>
      </w:pPr>
      <w:r w:rsidRPr="006D10B6">
        <w:t>Nr.</w:t>
      </w:r>
      <w:r w:rsidRPr="006D10B6">
        <w:tab/>
        <w:t>Nummer</w:t>
      </w:r>
    </w:p>
    <w:p w:rsidR="000D16F2" w:rsidRPr="006D10B6" w:rsidRDefault="000D16F2" w:rsidP="0069255D">
      <w:pPr>
        <w:pStyle w:val="Abkrzungsverzeichnis"/>
      </w:pPr>
      <w:r w:rsidRPr="006D10B6">
        <w:t>NVwZ</w:t>
      </w:r>
      <w:r w:rsidRPr="006D10B6">
        <w:tab/>
        <w:t>Neue Zeitschrift für Verwaltungsrecht</w:t>
      </w:r>
    </w:p>
    <w:p w:rsidR="000D16F2" w:rsidRPr="006D10B6" w:rsidRDefault="000D16F2" w:rsidP="0069255D">
      <w:pPr>
        <w:pStyle w:val="Abkrzungsverzeichnis"/>
      </w:pPr>
      <w:r w:rsidRPr="006D10B6">
        <w:t>OBIS</w:t>
      </w:r>
      <w:r w:rsidRPr="006D10B6">
        <w:tab/>
        <w:t>Object Identification System</w:t>
      </w:r>
    </w:p>
    <w:p w:rsidR="000D16F2" w:rsidRPr="006D10B6" w:rsidRDefault="000D16F2" w:rsidP="0069255D">
      <w:pPr>
        <w:pStyle w:val="Abkrzungsverzeichnis"/>
      </w:pPr>
      <w:r w:rsidRPr="006D10B6">
        <w:t>OECD</w:t>
      </w:r>
      <w:r w:rsidRPr="006D10B6">
        <w:tab/>
        <w:t xml:space="preserve">Organisation für wirtschaftliche Zusammenarbeit </w:t>
      </w:r>
      <w:r w:rsidR="0069255D">
        <w:br/>
      </w:r>
      <w:r w:rsidRPr="006D10B6">
        <w:t>und Entwicklung</w:t>
      </w:r>
    </w:p>
    <w:p w:rsidR="000407A5" w:rsidRPr="006D10B6" w:rsidRDefault="000407A5" w:rsidP="0069255D">
      <w:pPr>
        <w:pStyle w:val="Abkrzungsverzeichnis"/>
        <w:rPr>
          <w:lang w:val="en-US"/>
        </w:rPr>
      </w:pPr>
      <w:r w:rsidRPr="006D10B6">
        <w:rPr>
          <w:lang w:val="en-US"/>
        </w:rPr>
        <w:t>PP</w:t>
      </w:r>
      <w:r w:rsidRPr="006D10B6">
        <w:rPr>
          <w:lang w:val="en-US"/>
        </w:rPr>
        <w:tab/>
        <w:t xml:space="preserve">Protection Profile </w:t>
      </w:r>
    </w:p>
    <w:p w:rsidR="000D16F2" w:rsidRPr="006D10B6" w:rsidRDefault="000D16F2" w:rsidP="0069255D">
      <w:pPr>
        <w:pStyle w:val="Abkrzungsverzeichnis"/>
        <w:rPr>
          <w:lang w:val="en-US"/>
        </w:rPr>
      </w:pPr>
      <w:r w:rsidRPr="006D10B6">
        <w:rPr>
          <w:lang w:val="en-US"/>
        </w:rPr>
        <w:t>P3P</w:t>
      </w:r>
      <w:r w:rsidRPr="006D10B6">
        <w:rPr>
          <w:lang w:val="en-US"/>
        </w:rPr>
        <w:tab/>
        <w:t>P</w:t>
      </w:r>
      <w:r w:rsidR="00B727BC" w:rsidRPr="006D10B6">
        <w:rPr>
          <w:lang w:val="en-US"/>
        </w:rPr>
        <w:t>latform for Privacy Preferences</w:t>
      </w:r>
    </w:p>
    <w:p w:rsidR="000D16F2" w:rsidRPr="006D10B6" w:rsidRDefault="000D16F2" w:rsidP="0069255D">
      <w:pPr>
        <w:pStyle w:val="Abkrzungsverzeichnis"/>
      </w:pPr>
      <w:r w:rsidRPr="006D10B6">
        <w:t>PING</w:t>
      </w:r>
      <w:r w:rsidRPr="006D10B6">
        <w:tab/>
        <w:t>Policy Language Interest Group</w:t>
      </w:r>
    </w:p>
    <w:p w:rsidR="000D16F2" w:rsidRPr="006D10B6" w:rsidRDefault="000D16F2" w:rsidP="0069255D">
      <w:pPr>
        <w:pStyle w:val="Abkrzungsverzeichnis"/>
      </w:pPr>
      <w:r w:rsidRPr="006D10B6">
        <w:t>PTB</w:t>
      </w:r>
      <w:r w:rsidRPr="006D10B6">
        <w:tab/>
        <w:t>Physikalisch-Technische Bundesanstalt</w:t>
      </w:r>
    </w:p>
    <w:p w:rsidR="000D16F2" w:rsidRPr="006D10B6" w:rsidRDefault="000D16F2" w:rsidP="0069255D">
      <w:pPr>
        <w:pStyle w:val="Abkrzungsverzeichnis"/>
      </w:pPr>
      <w:r w:rsidRPr="006D10B6">
        <w:t>RDV</w:t>
      </w:r>
      <w:r w:rsidRPr="006D10B6">
        <w:tab/>
        <w:t>Recht der Datenverarbeitung</w:t>
      </w:r>
    </w:p>
    <w:p w:rsidR="000D16F2" w:rsidRPr="006D10B6" w:rsidRDefault="000D16F2" w:rsidP="0069255D">
      <w:pPr>
        <w:pStyle w:val="Abkrzungsverzeichnis"/>
      </w:pPr>
      <w:r w:rsidRPr="006D10B6">
        <w:t>RL</w:t>
      </w:r>
      <w:r w:rsidRPr="006D10B6">
        <w:tab/>
        <w:t>Richtlinie</w:t>
      </w:r>
    </w:p>
    <w:p w:rsidR="000D16F2" w:rsidRPr="006D10B6" w:rsidRDefault="000D16F2" w:rsidP="0069255D">
      <w:pPr>
        <w:pStyle w:val="Abkrzungsverzeichnis"/>
      </w:pPr>
      <w:r w:rsidRPr="006D10B6">
        <w:t>Rn.</w:t>
      </w:r>
      <w:r w:rsidRPr="006D10B6">
        <w:tab/>
        <w:t>Randnummer</w:t>
      </w:r>
    </w:p>
    <w:p w:rsidR="000D16F2" w:rsidRPr="006D10B6" w:rsidRDefault="000D16F2" w:rsidP="0069255D">
      <w:pPr>
        <w:pStyle w:val="Abkrzungsverzeichnis"/>
      </w:pPr>
      <w:r w:rsidRPr="006D10B6">
        <w:t>SigG</w:t>
      </w:r>
      <w:r w:rsidRPr="006D10B6">
        <w:tab/>
        <w:t>Signaturgesetz</w:t>
      </w:r>
    </w:p>
    <w:p w:rsidR="000D16F2" w:rsidRPr="006D10B6" w:rsidRDefault="000D16F2" w:rsidP="0069255D">
      <w:pPr>
        <w:pStyle w:val="Abkrzungsverzeichnis"/>
      </w:pPr>
      <w:r w:rsidRPr="006D10B6">
        <w:t>SMGW-Admin</w:t>
      </w:r>
      <w:r w:rsidRPr="006D10B6">
        <w:tab/>
        <w:t>Smart Meter Gateway-Administrator</w:t>
      </w:r>
    </w:p>
    <w:p w:rsidR="000D16F2" w:rsidRPr="006D10B6" w:rsidRDefault="000D16F2" w:rsidP="0069255D">
      <w:pPr>
        <w:pStyle w:val="Abkrzungsverzeichnis"/>
      </w:pPr>
      <w:r w:rsidRPr="006D10B6">
        <w:t>StromNZV</w:t>
      </w:r>
      <w:r w:rsidRPr="006D10B6">
        <w:tab/>
        <w:t>Stromnetzzugangsverordnung</w:t>
      </w:r>
    </w:p>
    <w:p w:rsidR="000D16F2" w:rsidRPr="006D10B6" w:rsidRDefault="000D16F2" w:rsidP="0069255D">
      <w:pPr>
        <w:pStyle w:val="Abkrzungsverzeichnis"/>
      </w:pPr>
      <w:r w:rsidRPr="006D10B6">
        <w:t>TKG</w:t>
      </w:r>
      <w:r w:rsidRPr="006D10B6">
        <w:tab/>
        <w:t>Telekommunikationsgesetz</w:t>
      </w:r>
    </w:p>
    <w:p w:rsidR="000D16F2" w:rsidRPr="006D10B6" w:rsidRDefault="000D16F2" w:rsidP="0069255D">
      <w:pPr>
        <w:pStyle w:val="Abkrzungsverzeichnis"/>
      </w:pPr>
      <w:r w:rsidRPr="006D10B6">
        <w:lastRenderedPageBreak/>
        <w:t>TMG</w:t>
      </w:r>
      <w:r w:rsidRPr="006D10B6">
        <w:tab/>
        <w:t>Telemediengesetz</w:t>
      </w:r>
    </w:p>
    <w:p w:rsidR="000D16F2" w:rsidRPr="006D10B6" w:rsidRDefault="000D16F2" w:rsidP="0069255D">
      <w:pPr>
        <w:pStyle w:val="Abkrzungsverzeichnis"/>
      </w:pPr>
      <w:r w:rsidRPr="006D10B6">
        <w:t>TR</w:t>
      </w:r>
      <w:r w:rsidRPr="006D10B6">
        <w:tab/>
        <w:t>Technische Richtlinie</w:t>
      </w:r>
    </w:p>
    <w:p w:rsidR="000D16F2" w:rsidRPr="006D10B6" w:rsidRDefault="000D16F2" w:rsidP="0069255D">
      <w:pPr>
        <w:pStyle w:val="Abkrzungsverzeichnis"/>
      </w:pPr>
      <w:r w:rsidRPr="006D10B6">
        <w:t>ULD</w:t>
      </w:r>
      <w:r w:rsidRPr="006D10B6">
        <w:tab/>
        <w:t>Unabhängiges Landeszentrum für Datenschutz Schleswig-Holstein</w:t>
      </w:r>
    </w:p>
    <w:p w:rsidR="000D16F2" w:rsidRPr="006D10B6" w:rsidRDefault="000D16F2" w:rsidP="0069255D">
      <w:pPr>
        <w:pStyle w:val="Abkrzungsverzeichnis"/>
      </w:pPr>
      <w:r w:rsidRPr="006D10B6">
        <w:t>ÜNB</w:t>
      </w:r>
      <w:r w:rsidRPr="006D10B6">
        <w:tab/>
        <w:t>Übertragungsnetzbetreiber</w:t>
      </w:r>
    </w:p>
    <w:p w:rsidR="000D16F2" w:rsidRPr="006D10B6" w:rsidRDefault="000D16F2" w:rsidP="0069255D">
      <w:pPr>
        <w:pStyle w:val="Abkrzungsverzeichnis"/>
      </w:pPr>
      <w:r w:rsidRPr="006D10B6">
        <w:t>VerwArch</w:t>
      </w:r>
      <w:r w:rsidRPr="006D10B6">
        <w:tab/>
        <w:t>Verwaltungsarchiv</w:t>
      </w:r>
    </w:p>
    <w:p w:rsidR="000D16F2" w:rsidRPr="006D10B6" w:rsidRDefault="000D16F2" w:rsidP="0069255D">
      <w:pPr>
        <w:pStyle w:val="Abkrzungsverzeichnis"/>
      </w:pPr>
      <w:r w:rsidRPr="006D10B6">
        <w:t>vgl.</w:t>
      </w:r>
      <w:r w:rsidRPr="006D10B6">
        <w:tab/>
        <w:t>vergleiche</w:t>
      </w:r>
    </w:p>
    <w:p w:rsidR="000D16F2" w:rsidRPr="006D10B6" w:rsidRDefault="000D16F2" w:rsidP="0069255D">
      <w:pPr>
        <w:pStyle w:val="Abkrzungsverzeichnis"/>
      </w:pPr>
      <w:r w:rsidRPr="006D10B6">
        <w:t>VNB</w:t>
      </w:r>
      <w:r w:rsidRPr="006D10B6">
        <w:tab/>
        <w:t>Verteilnetzbetreiber</w:t>
      </w:r>
    </w:p>
    <w:p w:rsidR="000D16F2" w:rsidRPr="006D10B6" w:rsidRDefault="000D16F2" w:rsidP="0069255D">
      <w:pPr>
        <w:pStyle w:val="Abkrzungsverzeichnis"/>
      </w:pPr>
      <w:r w:rsidRPr="006D10B6">
        <w:t>VO</w:t>
      </w:r>
      <w:r w:rsidRPr="006D10B6">
        <w:tab/>
        <w:t>Verordnung</w:t>
      </w:r>
    </w:p>
    <w:p w:rsidR="000D16F2" w:rsidRPr="006D10B6" w:rsidRDefault="000D16F2" w:rsidP="0069255D">
      <w:pPr>
        <w:pStyle w:val="Abkrzungsverzeichnis"/>
      </w:pPr>
      <w:r w:rsidRPr="006D10B6">
        <w:t>VV</w:t>
      </w:r>
      <w:r w:rsidRPr="006D10B6">
        <w:tab/>
        <w:t>Verwaltungsvorschrift</w:t>
      </w:r>
    </w:p>
    <w:p w:rsidR="00660D06" w:rsidRPr="006D10B6" w:rsidRDefault="00660D06" w:rsidP="0069255D">
      <w:pPr>
        <w:pStyle w:val="Abkrzungsverzeichnis"/>
      </w:pPr>
      <w:r w:rsidRPr="006D10B6">
        <w:t>VVDStRL</w:t>
      </w:r>
      <w:r w:rsidRPr="006D10B6">
        <w:tab/>
        <w:t>Veröffentlichungen der Vereinigung der Deutschen Staatsrechtslehrer</w:t>
      </w:r>
    </w:p>
    <w:p w:rsidR="000D16F2" w:rsidRPr="006D10B6" w:rsidRDefault="000D16F2" w:rsidP="0069255D">
      <w:pPr>
        <w:pStyle w:val="Abkrzungsverzeichnis"/>
        <w:rPr>
          <w:lang w:val="en-GB"/>
        </w:rPr>
      </w:pPr>
      <w:r w:rsidRPr="006D10B6">
        <w:rPr>
          <w:lang w:val="en-GB"/>
        </w:rPr>
        <w:t>W3C</w:t>
      </w:r>
      <w:r w:rsidRPr="006D10B6">
        <w:rPr>
          <w:lang w:val="en-GB"/>
        </w:rPr>
        <w:tab/>
        <w:t>World Wide Web Consortium</w:t>
      </w:r>
    </w:p>
    <w:p w:rsidR="000D16F2" w:rsidRPr="006D10B6" w:rsidRDefault="000D16F2" w:rsidP="0069255D">
      <w:pPr>
        <w:pStyle w:val="Abkrzungsverzeichnis"/>
        <w:rPr>
          <w:lang w:val="en-GB"/>
        </w:rPr>
      </w:pPr>
      <w:r w:rsidRPr="006D10B6">
        <w:rPr>
          <w:lang w:val="en-GB"/>
        </w:rPr>
        <w:t>WAN</w:t>
      </w:r>
      <w:r w:rsidRPr="006D10B6">
        <w:rPr>
          <w:lang w:val="en-GB"/>
        </w:rPr>
        <w:tab/>
        <w:t>Wide Area Network</w:t>
      </w:r>
    </w:p>
    <w:p w:rsidR="000D16F2" w:rsidRPr="006D10B6" w:rsidRDefault="000D16F2" w:rsidP="0069255D">
      <w:pPr>
        <w:pStyle w:val="Abkrzungsverzeichnis"/>
      </w:pPr>
      <w:r w:rsidRPr="006D10B6">
        <w:t>WiM</w:t>
      </w:r>
      <w:r w:rsidRPr="006D10B6">
        <w:tab/>
        <w:t>Wechselprozesse im Messwesen</w:t>
      </w:r>
    </w:p>
    <w:p w:rsidR="000D16F2" w:rsidRPr="006D10B6" w:rsidRDefault="000D16F2" w:rsidP="0069255D">
      <w:pPr>
        <w:pStyle w:val="Abkrzungsverzeichnis"/>
      </w:pPr>
      <w:r w:rsidRPr="006D10B6">
        <w:t>XML</w:t>
      </w:r>
      <w:r w:rsidRPr="006D10B6">
        <w:tab/>
        <w:t>Extensible Markup Language</w:t>
      </w:r>
    </w:p>
    <w:p w:rsidR="000D16F2" w:rsidRPr="006D10B6" w:rsidRDefault="000D16F2" w:rsidP="0069255D">
      <w:pPr>
        <w:pStyle w:val="Abkrzungsverzeichnis"/>
      </w:pPr>
      <w:r w:rsidRPr="006D10B6">
        <w:t>ZD</w:t>
      </w:r>
      <w:r w:rsidRPr="006D10B6">
        <w:tab/>
        <w:t>Zeitschrift für Datenschutz</w:t>
      </w:r>
    </w:p>
    <w:p w:rsidR="000D16F2" w:rsidRPr="006D10B6" w:rsidRDefault="000D16F2" w:rsidP="0069255D">
      <w:pPr>
        <w:pStyle w:val="Abkrzungsverzeichnis"/>
      </w:pPr>
      <w:r w:rsidRPr="006D10B6">
        <w:t>ZNER</w:t>
      </w:r>
      <w:r w:rsidRPr="006D10B6">
        <w:tab/>
        <w:t>Zeitschrift für neues Energierecht</w:t>
      </w:r>
    </w:p>
    <w:p w:rsidR="000D16F2" w:rsidRPr="006D10B6" w:rsidRDefault="000D16F2" w:rsidP="000D16F2">
      <w:pPr>
        <w:ind w:left="2832" w:hanging="2832"/>
        <w:rPr>
          <w:szCs w:val="28"/>
        </w:rPr>
      </w:pPr>
    </w:p>
    <w:p w:rsidR="000D16F2" w:rsidRPr="006D10B6" w:rsidRDefault="000D16F2" w:rsidP="000D16F2">
      <w:pPr>
        <w:rPr>
          <w:szCs w:val="28"/>
        </w:rPr>
      </w:pPr>
      <w:r w:rsidRPr="006D10B6">
        <w:rPr>
          <w:szCs w:val="28"/>
        </w:rPr>
        <w:t>Im Übrigen wird auf die Abkürzungen nach Kirchner, Abkürzungsverzeic</w:t>
      </w:r>
      <w:r w:rsidRPr="006D10B6">
        <w:rPr>
          <w:szCs w:val="28"/>
        </w:rPr>
        <w:t>h</w:t>
      </w:r>
      <w:r w:rsidRPr="006D10B6">
        <w:rPr>
          <w:szCs w:val="28"/>
        </w:rPr>
        <w:t>nis der Rechtssprache (8. Auflage, Berlin 2015), verwiesen.</w:t>
      </w:r>
    </w:p>
    <w:p w:rsidR="000D16F2" w:rsidRPr="006D10B6" w:rsidRDefault="000D16F2" w:rsidP="0061214D">
      <w:pPr>
        <w:rPr>
          <w:szCs w:val="28"/>
        </w:rPr>
      </w:pPr>
    </w:p>
    <w:p w:rsidR="001D4DF8" w:rsidRDefault="001D4DF8" w:rsidP="006E7507">
      <w:pPr>
        <w:pStyle w:val="berschrift1Teil"/>
        <w:sectPr w:rsidR="001D4DF8" w:rsidSect="00F8546B">
          <w:footnotePr>
            <w:numRestart w:val="eachSect"/>
          </w:footnotePr>
          <w:type w:val="oddPage"/>
          <w:pgSz w:w="11906" w:h="16838" w:code="9"/>
          <w:pgMar w:top="2041" w:right="1304" w:bottom="2041" w:left="1985" w:header="1134" w:footer="1134" w:gutter="0"/>
          <w:pgNumType w:fmt="upperRoman"/>
          <w:cols w:space="708"/>
          <w:titlePg/>
          <w:docGrid w:linePitch="360"/>
        </w:sectPr>
      </w:pPr>
      <w:bookmarkStart w:id="7" w:name="_Toc490827276"/>
    </w:p>
    <w:p w:rsidR="004000DF" w:rsidRPr="006E7507" w:rsidRDefault="006E7507" w:rsidP="006E7507">
      <w:pPr>
        <w:pStyle w:val="berschrift1Teil"/>
      </w:pPr>
      <w:bookmarkStart w:id="8" w:name="_Toc491418246"/>
      <w:r w:rsidRPr="006E7507">
        <w:lastRenderedPageBreak/>
        <w:t>Teil 1:</w:t>
      </w:r>
      <w:r w:rsidR="00670980">
        <w:t xml:space="preserve"> </w:t>
      </w:r>
      <w:r w:rsidR="004000DF" w:rsidRPr="006E7507">
        <w:t>Einleitung</w:t>
      </w:r>
      <w:bookmarkEnd w:id="7"/>
      <w:bookmarkEnd w:id="8"/>
    </w:p>
    <w:p w:rsidR="006E7507" w:rsidRDefault="006E7507">
      <w:pPr>
        <w:spacing w:line="276" w:lineRule="auto"/>
        <w:rPr>
          <w:rFonts w:eastAsiaTheme="majorEastAsia" w:cstheme="majorBidi"/>
          <w:b/>
          <w:bCs/>
          <w:sz w:val="40"/>
          <w:szCs w:val="26"/>
        </w:rPr>
      </w:pPr>
      <w:bookmarkStart w:id="9" w:name="_Toc490827277"/>
      <w:r>
        <w:br w:type="page"/>
      </w:r>
    </w:p>
    <w:p w:rsidR="001D4DF8" w:rsidRDefault="001D4DF8" w:rsidP="006E7507">
      <w:pPr>
        <w:pStyle w:val="berschrift1"/>
        <w:sectPr w:rsidR="001D4DF8" w:rsidSect="00492117">
          <w:footerReference w:type="first" r:id="rId14"/>
          <w:footnotePr>
            <w:numRestart w:val="eachSect"/>
          </w:footnotePr>
          <w:type w:val="oddPage"/>
          <w:pgSz w:w="11906" w:h="16838" w:code="9"/>
          <w:pgMar w:top="2041" w:right="1304" w:bottom="2041" w:left="1985" w:header="1134" w:footer="1134" w:gutter="0"/>
          <w:pgNumType w:start="1"/>
          <w:cols w:space="708"/>
          <w:titlePg/>
          <w:docGrid w:linePitch="360"/>
        </w:sectPr>
      </w:pPr>
    </w:p>
    <w:p w:rsidR="009A4C6E" w:rsidRDefault="009A4C6E" w:rsidP="006E7507">
      <w:pPr>
        <w:pStyle w:val="berschrift1"/>
      </w:pPr>
      <w:bookmarkStart w:id="10" w:name="_Toc491418247"/>
      <w:r>
        <w:lastRenderedPageBreak/>
        <w:t>Motivation</w:t>
      </w:r>
      <w:bookmarkEnd w:id="9"/>
      <w:bookmarkEnd w:id="10"/>
    </w:p>
    <w:p w:rsidR="00AD7902" w:rsidRDefault="001F288E" w:rsidP="006E7507">
      <w:bookmarkStart w:id="11" w:name="_Toc400439623"/>
      <w:bookmarkStart w:id="12" w:name="_Toc440533416"/>
      <w:r w:rsidRPr="001F288E">
        <w:t xml:space="preserve">In der Energiewirtschaft hat in den letzten Jahren ein </w:t>
      </w:r>
      <w:r w:rsidRPr="00BA7EDF">
        <w:rPr>
          <w:b/>
          <w:i/>
        </w:rPr>
        <w:t xml:space="preserve">doppelter </w:t>
      </w:r>
      <w:r w:rsidRPr="00EF69F2">
        <w:rPr>
          <w:i/>
        </w:rPr>
        <w:t>bzw.</w:t>
      </w:r>
      <w:r w:rsidRPr="00BA7EDF">
        <w:rPr>
          <w:b/>
          <w:i/>
        </w:rPr>
        <w:t xml:space="preserve"> meh</w:t>
      </w:r>
      <w:r w:rsidRPr="00BA7EDF">
        <w:rPr>
          <w:b/>
          <w:i/>
        </w:rPr>
        <w:t>r</w:t>
      </w:r>
      <w:r w:rsidRPr="00BA7EDF">
        <w:rPr>
          <w:b/>
          <w:i/>
        </w:rPr>
        <w:t>schichtiger Paradigmenwechsel</w:t>
      </w:r>
      <w:r w:rsidRPr="001F288E">
        <w:t xml:space="preserve"> stattgefunden.</w:t>
      </w:r>
      <w:r>
        <w:rPr>
          <w:b/>
        </w:rPr>
        <w:t xml:space="preserve"> </w:t>
      </w:r>
      <w:bookmarkEnd w:id="11"/>
      <w:bookmarkEnd w:id="12"/>
      <w:r w:rsidR="000D1ACC" w:rsidRPr="0079639D">
        <w:t>Bedingt durch die europä</w:t>
      </w:r>
      <w:r w:rsidR="000D1ACC" w:rsidRPr="0079639D">
        <w:t>i</w:t>
      </w:r>
      <w:r w:rsidR="000D1ACC" w:rsidRPr="0079639D">
        <w:t>schen Vorgaben zur</w:t>
      </w:r>
      <w:r w:rsidR="000D1ACC" w:rsidRPr="000D1ACC">
        <w:rPr>
          <w:b/>
        </w:rPr>
        <w:t xml:space="preserve"> </w:t>
      </w:r>
      <w:r w:rsidR="000D1ACC" w:rsidRPr="000D1ACC">
        <w:rPr>
          <w:rFonts w:eastAsia="Lucida Sans Unicode" w:cs="Mangal"/>
          <w:kern w:val="1"/>
          <w:szCs w:val="24"/>
          <w:lang w:eastAsia="hi-IN" w:bidi="hi-IN"/>
        </w:rPr>
        <w:t>Steigerung der Energieeffizienz</w:t>
      </w:r>
      <w:r w:rsidR="00F93D42">
        <w:rPr>
          <w:rStyle w:val="Funotenzeichen"/>
          <w:rFonts w:eastAsia="Lucida Sans Unicode" w:cs="Mangal"/>
          <w:kern w:val="1"/>
          <w:szCs w:val="24"/>
          <w:lang w:eastAsia="hi-IN" w:bidi="hi-IN"/>
        </w:rPr>
        <w:footnoteReference w:id="1"/>
      </w:r>
      <w:r w:rsidR="000D1ACC" w:rsidRPr="000D1ACC">
        <w:rPr>
          <w:rFonts w:eastAsia="Lucida Sans Unicode" w:cs="Mangal"/>
          <w:kern w:val="1"/>
          <w:szCs w:val="24"/>
          <w:lang w:eastAsia="hi-IN" w:bidi="hi-IN"/>
        </w:rPr>
        <w:t xml:space="preserve"> und der Etablierung eines intelligenten Energieinformat</w:t>
      </w:r>
      <w:r w:rsidR="002B41BF">
        <w:rPr>
          <w:rFonts w:eastAsia="Lucida Sans Unicode" w:cs="Mangal"/>
          <w:kern w:val="1"/>
          <w:szCs w:val="24"/>
          <w:lang w:eastAsia="hi-IN" w:bidi="hi-IN"/>
        </w:rPr>
        <w:t>ionsnetzes (Smart Grid</w:t>
      </w:r>
      <w:r w:rsidR="001E5042">
        <w:rPr>
          <w:rFonts w:eastAsia="Lucida Sans Unicode" w:cs="Mangal"/>
          <w:kern w:val="1"/>
          <w:szCs w:val="24"/>
          <w:lang w:eastAsia="hi-IN" w:bidi="hi-IN"/>
        </w:rPr>
        <w:t>)</w:t>
      </w:r>
      <w:r w:rsidR="00182369">
        <w:rPr>
          <w:rStyle w:val="Funotenzeichen"/>
          <w:rFonts w:eastAsia="Lucida Sans Unicode" w:cs="Mangal"/>
          <w:kern w:val="1"/>
          <w:szCs w:val="24"/>
          <w:lang w:eastAsia="hi-IN" w:bidi="hi-IN"/>
        </w:rPr>
        <w:footnoteReference w:id="2"/>
      </w:r>
      <w:r w:rsidR="001E5042">
        <w:rPr>
          <w:rFonts w:eastAsia="Lucida Sans Unicode" w:cs="Mangal"/>
          <w:kern w:val="1"/>
          <w:szCs w:val="24"/>
          <w:lang w:eastAsia="hi-IN" w:bidi="hi-IN"/>
        </w:rPr>
        <w:t xml:space="preserve"> wurden</w:t>
      </w:r>
      <w:r w:rsidR="000D1ACC" w:rsidRPr="000D1ACC">
        <w:rPr>
          <w:rFonts w:eastAsia="Lucida Sans Unicode" w:cs="Mangal"/>
          <w:kern w:val="1"/>
          <w:szCs w:val="24"/>
          <w:lang w:eastAsia="hi-IN" w:bidi="hi-IN"/>
        </w:rPr>
        <w:t xml:space="preserve"> </w:t>
      </w:r>
      <w:r w:rsidR="000D1ACC" w:rsidRPr="00FA70E9">
        <w:t>sog</w:t>
      </w:r>
      <w:r w:rsidR="000D1ACC" w:rsidRPr="00FA70E9">
        <w:t>e</w:t>
      </w:r>
      <w:r w:rsidR="000D1ACC" w:rsidRPr="00FA70E9">
        <w:t>nannte intelligente Messsysteme (Smart Meter)</w:t>
      </w:r>
      <w:r w:rsidR="00182369" w:rsidRPr="004F7106">
        <w:rPr>
          <w:vertAlign w:val="superscript"/>
        </w:rPr>
        <w:footnoteReference w:id="3"/>
      </w:r>
      <w:r w:rsidR="000D1ACC" w:rsidRPr="00FA70E9">
        <w:t xml:space="preserve"> eingeführt</w:t>
      </w:r>
      <w:r w:rsidR="00C82717" w:rsidRPr="00FA70E9">
        <w:t>, um Netzbetre</w:t>
      </w:r>
      <w:r w:rsidR="00C82717" w:rsidRPr="00FA70E9">
        <w:t>i</w:t>
      </w:r>
      <w:r w:rsidR="00C82717" w:rsidRPr="00FA70E9">
        <w:t>bern und Energieversorgungs</w:t>
      </w:r>
      <w:r w:rsidR="000D1ACC" w:rsidRPr="00FA70E9">
        <w:t>unternehmen eine Optimierung des Stromve</w:t>
      </w:r>
      <w:r w:rsidR="000D1ACC" w:rsidRPr="00FA70E9">
        <w:t>r</w:t>
      </w:r>
      <w:r w:rsidR="000D1ACC" w:rsidRPr="00FA70E9">
        <w:t>brauchs zu ermöglichen</w:t>
      </w:r>
      <w:r w:rsidR="001E5042" w:rsidRPr="00FA70E9">
        <w:t xml:space="preserve"> sowie</w:t>
      </w:r>
      <w:r w:rsidR="000D1ACC" w:rsidRPr="00FA70E9">
        <w:t xml:space="preserve"> die aktive Beteiligung der Verbraucher am Stromversorgungsmarkt zu </w:t>
      </w:r>
      <w:r w:rsidR="000D1ACC" w:rsidRPr="004F7106">
        <w:t>unterstützen.</w:t>
      </w:r>
      <w:r w:rsidR="000D1ACC" w:rsidRPr="00FA70E9">
        <w:t xml:space="preserve"> </w:t>
      </w:r>
      <w:r w:rsidR="002B41BF" w:rsidRPr="00FA70E9">
        <w:t xml:space="preserve">Durch die Einführung vernetzter Energiesysteme </w:t>
      </w:r>
      <w:r w:rsidR="00EF3C0D" w:rsidRPr="00FA70E9">
        <w:t>wurde</w:t>
      </w:r>
      <w:r w:rsidRPr="00FA70E9">
        <w:t xml:space="preserve"> </w:t>
      </w:r>
      <w:r w:rsidR="00067D34" w:rsidRPr="00FA70E9">
        <w:t>auf die zunehmende Nutzung von Energie aus reg</w:t>
      </w:r>
      <w:r w:rsidR="00067D34" w:rsidRPr="00FA70E9">
        <w:t>e</w:t>
      </w:r>
      <w:r w:rsidR="00067D34" w:rsidRPr="00FA70E9">
        <w:t>nerativen aber auch fluktuierenden Quellen wie Wind und Sonne, welche</w:t>
      </w:r>
      <w:r w:rsidR="00EC73B0">
        <w:t xml:space="preserve"> </w:t>
      </w:r>
      <w:r w:rsidR="00067D34" w:rsidRPr="00FA70E9">
        <w:t>im Gegensatz zu klassischen Kraftwerken nicht ste</w:t>
      </w:r>
      <w:r w:rsidR="00B249E6" w:rsidRPr="00FA70E9">
        <w:t xml:space="preserve">uerbar sind, reagiert und somit </w:t>
      </w:r>
      <w:r w:rsidRPr="00FA70E9">
        <w:t>die Voraussetzung</w:t>
      </w:r>
      <w:r w:rsidR="00B249E6" w:rsidRPr="00FA70E9">
        <w:t xml:space="preserve">en für eine bessere Integration </w:t>
      </w:r>
      <w:r w:rsidRPr="00FA70E9">
        <w:t>erneuerbarer Ene</w:t>
      </w:r>
      <w:r w:rsidRPr="00FA70E9">
        <w:t>r</w:t>
      </w:r>
      <w:r w:rsidRPr="00FA70E9">
        <w:t>gien geschaffen</w:t>
      </w:r>
      <w:r w:rsidR="00067D34" w:rsidRPr="00FA70E9">
        <w:t xml:space="preserve">. </w:t>
      </w:r>
      <w:r w:rsidR="004779D6" w:rsidRPr="00FA70E9">
        <w:t>Hierfür wurde damit begonnen</w:t>
      </w:r>
      <w:r w:rsidR="004F7106">
        <w:t>,</w:t>
      </w:r>
      <w:r w:rsidR="00B249E6">
        <w:t xml:space="preserve"> </w:t>
      </w:r>
      <w:r w:rsidR="00EF3C0D">
        <w:t xml:space="preserve">erforderliche Mechanismen </w:t>
      </w:r>
      <w:r w:rsidR="00EF3C0D">
        <w:lastRenderedPageBreak/>
        <w:t xml:space="preserve">- </w:t>
      </w:r>
      <w:r w:rsidR="002B41BF" w:rsidRPr="009A318A">
        <w:t>wie sogenannte lastvariable und damit von der aktuellen</w:t>
      </w:r>
      <w:r w:rsidR="00EF3C0D">
        <w:t xml:space="preserve"> Wetterlage a</w:t>
      </w:r>
      <w:r w:rsidR="00EF3C0D">
        <w:t>b</w:t>
      </w:r>
      <w:r w:rsidR="00EF3C0D">
        <w:t xml:space="preserve">hängige Tarife - </w:t>
      </w:r>
      <w:r w:rsidR="002B41BF" w:rsidRPr="009A318A">
        <w:t>zur Anpassung des Stromverbrauchs an die jeweilige E</w:t>
      </w:r>
      <w:r w:rsidR="002B41BF" w:rsidRPr="009A318A">
        <w:t>r</w:t>
      </w:r>
      <w:r w:rsidR="002B41BF" w:rsidRPr="009A318A">
        <w:t xml:space="preserve">zeugungssituation </w:t>
      </w:r>
      <w:r w:rsidR="004779D6">
        <w:t xml:space="preserve">zu </w:t>
      </w:r>
      <w:r w:rsidR="002B41BF" w:rsidRPr="009A318A">
        <w:t>etablier</w:t>
      </w:r>
      <w:r w:rsidR="00EF69F2">
        <w:t xml:space="preserve">en. </w:t>
      </w:r>
      <w:r w:rsidR="00B249E6">
        <w:t>D</w:t>
      </w:r>
      <w:r w:rsidR="008F5024" w:rsidRPr="009A318A">
        <w:t xml:space="preserve">ie zeitnahe Übermittlung dieser </w:t>
      </w:r>
      <w:r w:rsidR="001E5042">
        <w:t>sogenan</w:t>
      </w:r>
      <w:r w:rsidR="001E5042">
        <w:t>n</w:t>
      </w:r>
      <w:r w:rsidR="001E5042">
        <w:t xml:space="preserve">ten </w:t>
      </w:r>
      <w:r w:rsidR="008F5024" w:rsidRPr="009A318A">
        <w:t xml:space="preserve">Anreiztarife </w:t>
      </w:r>
      <w:r w:rsidR="00B249E6">
        <w:t xml:space="preserve">dient </w:t>
      </w:r>
      <w:r w:rsidR="00F4097E">
        <w:t xml:space="preserve">dabei der Motivation von </w:t>
      </w:r>
      <w:r w:rsidRPr="009A318A">
        <w:t>Kunden, einen möglichst großen Anteil ihres Stromverbrauchs in Zeiten zu verlagern, in welchen die Erzeugung aus regenerativen Quellen hoch und der Gesamtverbrauch nie</w:t>
      </w:r>
      <w:r w:rsidRPr="009A318A">
        <w:t>d</w:t>
      </w:r>
      <w:r w:rsidRPr="009A318A">
        <w:t>rig ist.</w:t>
      </w:r>
      <w:r w:rsidR="004779D6">
        <w:t xml:space="preserve"> Gleichzeitig sollen die Messdaten die</w:t>
      </w:r>
      <w:r w:rsidR="004779D6" w:rsidRPr="00EF69F2">
        <w:rPr>
          <w:b/>
          <w:i/>
        </w:rPr>
        <w:t xml:space="preserve"> Prognosebasis</w:t>
      </w:r>
      <w:r w:rsidR="004779D6">
        <w:t xml:space="preserve"> der Energieli</w:t>
      </w:r>
      <w:r w:rsidR="004779D6">
        <w:t>e</w:t>
      </w:r>
      <w:r w:rsidR="004779D6">
        <w:t>feranten für die Kraftwerkseinplanung verbessern.</w:t>
      </w:r>
      <w:r w:rsidRPr="009A318A">
        <w:t xml:space="preserve"> </w:t>
      </w:r>
      <w:r w:rsidR="004F7106">
        <w:t>Diese</w:t>
      </w:r>
      <w:r w:rsidR="00B249E6">
        <w:t xml:space="preserve"> Mechanismen erfordern </w:t>
      </w:r>
      <w:r w:rsidR="00F4097E">
        <w:t xml:space="preserve">in der Konsequenz </w:t>
      </w:r>
      <w:r w:rsidR="009A318A" w:rsidRPr="006E02DA">
        <w:t xml:space="preserve">eine </w:t>
      </w:r>
      <w:r w:rsidR="00EF3C0D">
        <w:t xml:space="preserve">vollelektronische </w:t>
      </w:r>
      <w:r w:rsidRPr="006E02DA">
        <w:t xml:space="preserve">Abrechnung </w:t>
      </w:r>
      <w:r w:rsidR="008F5024" w:rsidRPr="006E02DA">
        <w:t xml:space="preserve">mittels </w:t>
      </w:r>
      <w:r w:rsidR="00F2403A">
        <w:t xml:space="preserve">Messsystemen mit einer entsprechenden </w:t>
      </w:r>
      <w:r w:rsidRPr="006E02DA">
        <w:t>Kommunikationsschnittstelle</w:t>
      </w:r>
      <w:r w:rsidR="00EA5500">
        <w:t>.</w:t>
      </w:r>
      <w:r w:rsidRPr="006E02DA">
        <w:t xml:space="preserve"> </w:t>
      </w:r>
      <w:r w:rsidR="00EA5500">
        <w:t>D</w:t>
      </w:r>
      <w:r w:rsidR="00EF3C0D">
        <w:t>a</w:t>
      </w:r>
      <w:r w:rsidR="00EF3C0D">
        <w:t xml:space="preserve">mit </w:t>
      </w:r>
      <w:r w:rsidR="00EA5500">
        <w:t xml:space="preserve">wird </w:t>
      </w:r>
      <w:r w:rsidR="00EF3C0D">
        <w:t xml:space="preserve">nicht nur </w:t>
      </w:r>
      <w:r w:rsidR="00F4097E">
        <w:t xml:space="preserve">die </w:t>
      </w:r>
      <w:r w:rsidRPr="006E02DA">
        <w:t>Möglichkeit der elektronischen Übermittlung von Messwerten</w:t>
      </w:r>
      <w:r w:rsidR="00EA5500">
        <w:t xml:space="preserve"> notwendig</w:t>
      </w:r>
      <w:r w:rsidR="00EF3C0D">
        <w:t>,</w:t>
      </w:r>
      <w:r w:rsidRPr="006E02DA">
        <w:t xml:space="preserve"> </w:t>
      </w:r>
      <w:r w:rsidR="00F4097E">
        <w:t>sondern auch eine</w:t>
      </w:r>
      <w:r w:rsidR="0077267C">
        <w:t xml:space="preserve"> vollelektronische</w:t>
      </w:r>
      <w:r w:rsidR="00F4097E" w:rsidRPr="006E02DA">
        <w:t xml:space="preserve"> Abwicklung </w:t>
      </w:r>
      <w:r w:rsidR="00F4097E">
        <w:t xml:space="preserve">der </w:t>
      </w:r>
      <w:r w:rsidRPr="006E02DA">
        <w:t>übrigen (Mess-)Datenbedürfnisse der Akteure des klassischen Energi</w:t>
      </w:r>
      <w:r w:rsidRPr="006E02DA">
        <w:t>e</w:t>
      </w:r>
      <w:r w:rsidRPr="006E02DA">
        <w:t>marktes auf Basis einer Kommunikationsverbindung bis zum Letztverbra</w:t>
      </w:r>
      <w:r w:rsidRPr="006E02DA">
        <w:t>u</w:t>
      </w:r>
      <w:r w:rsidRPr="006E02DA">
        <w:t xml:space="preserve">cher. </w:t>
      </w:r>
      <w:r w:rsidR="009A318A" w:rsidRPr="006E02DA">
        <w:t>Zugleich wird da</w:t>
      </w:r>
      <w:r w:rsidR="0079639D">
        <w:t xml:space="preserve">mit </w:t>
      </w:r>
      <w:r w:rsidR="009A318A" w:rsidRPr="006E02DA">
        <w:t xml:space="preserve">auch eine </w:t>
      </w:r>
      <w:r w:rsidR="001E5042">
        <w:t>fernkommunikative</w:t>
      </w:r>
      <w:r w:rsidR="009A318A" w:rsidRPr="006E02DA">
        <w:t xml:space="preserve"> Vernetzung der Messsysteme </w:t>
      </w:r>
      <w:r w:rsidRPr="006E02DA">
        <w:t xml:space="preserve">für die kommende Integration von Elektromobilität in das Energiesystem </w:t>
      </w:r>
      <w:r w:rsidR="009A318A" w:rsidRPr="006E02DA">
        <w:t>ermöglicht</w:t>
      </w:r>
      <w:r w:rsidR="006E02DA" w:rsidRPr="006E02DA">
        <w:t>.</w:t>
      </w:r>
      <w:r w:rsidR="00B249E6">
        <w:rPr>
          <w:rStyle w:val="Funotenzeichen"/>
        </w:rPr>
        <w:footnoteReference w:id="4"/>
      </w:r>
      <w:r w:rsidR="00EC73B0">
        <w:t xml:space="preserve"> </w:t>
      </w:r>
    </w:p>
    <w:p w:rsidR="005D5DB3" w:rsidRDefault="005D5DB3" w:rsidP="006E7507">
      <w:r>
        <w:t>…</w:t>
      </w:r>
    </w:p>
    <w:p w:rsidR="00AD7902" w:rsidRDefault="00AD7902">
      <w:pPr>
        <w:spacing w:line="276" w:lineRule="auto"/>
      </w:pPr>
      <w:r>
        <w:br w:type="page"/>
      </w:r>
    </w:p>
    <w:p w:rsidR="001D4DF8" w:rsidRDefault="001D4DF8" w:rsidP="00D65026">
      <w:pPr>
        <w:pStyle w:val="berschrift1Teil"/>
        <w:sectPr w:rsidR="001D4DF8" w:rsidSect="00AC12B6">
          <w:headerReference w:type="even" r:id="rId15"/>
          <w:headerReference w:type="default" r:id="rId16"/>
          <w:footerReference w:type="even" r:id="rId17"/>
          <w:footerReference w:type="first" r:id="rId18"/>
          <w:footnotePr>
            <w:numRestart w:val="eachSect"/>
          </w:footnotePr>
          <w:type w:val="oddPage"/>
          <w:pgSz w:w="11906" w:h="16838" w:code="9"/>
          <w:pgMar w:top="2041" w:right="1304" w:bottom="2041" w:left="1985" w:header="1134" w:footer="1134" w:gutter="0"/>
          <w:cols w:space="708"/>
          <w:titlePg/>
          <w:docGrid w:linePitch="360"/>
        </w:sectPr>
      </w:pPr>
      <w:bookmarkStart w:id="13" w:name="_Toc490827325"/>
    </w:p>
    <w:p w:rsidR="00EF47E9" w:rsidRPr="004B2295" w:rsidRDefault="00D65026" w:rsidP="00D65026">
      <w:pPr>
        <w:pStyle w:val="berschrift1Teil"/>
      </w:pPr>
      <w:bookmarkStart w:id="14" w:name="_Toc491418248"/>
      <w:r>
        <w:lastRenderedPageBreak/>
        <w:t>Teil</w:t>
      </w:r>
      <w:r w:rsidR="00900B4D">
        <w:t xml:space="preserve"> </w:t>
      </w:r>
      <w:r>
        <w:t>2</w:t>
      </w:r>
      <w:r w:rsidR="00900B4D">
        <w:t>:</w:t>
      </w:r>
      <w:r w:rsidR="001E1D92">
        <w:t xml:space="preserve"> </w:t>
      </w:r>
      <w:r w:rsidR="0085718A" w:rsidRPr="004B2295">
        <w:t>Wissensperspektiven</w:t>
      </w:r>
      <w:r w:rsidR="001E1D92">
        <w:t> </w:t>
      </w:r>
      <w:r w:rsidR="0085718A" w:rsidRPr="004B2295">
        <w:t>zum</w:t>
      </w:r>
      <w:r w:rsidR="001E1D92">
        <w:t xml:space="preserve"> </w:t>
      </w:r>
      <w:r w:rsidR="0085718A" w:rsidRPr="004B2295">
        <w:t>Smart</w:t>
      </w:r>
      <w:r w:rsidR="00E468C7">
        <w:t xml:space="preserve"> </w:t>
      </w:r>
      <w:r w:rsidR="0085718A" w:rsidRPr="004B2295">
        <w:t>Grid</w:t>
      </w:r>
      <w:bookmarkEnd w:id="13"/>
      <w:bookmarkEnd w:id="14"/>
      <w:r w:rsidR="006D171B">
        <w:t xml:space="preserve"> </w:t>
      </w:r>
    </w:p>
    <w:p w:rsidR="001D4DF8" w:rsidRDefault="001D4DF8" w:rsidP="00D65026">
      <w:pPr>
        <w:pStyle w:val="berschrift1"/>
        <w:sectPr w:rsidR="001D4DF8" w:rsidSect="00AC12B6">
          <w:footerReference w:type="first" r:id="rId19"/>
          <w:footnotePr>
            <w:numRestart w:val="eachSect"/>
          </w:footnotePr>
          <w:type w:val="oddPage"/>
          <w:pgSz w:w="11906" w:h="16838" w:code="9"/>
          <w:pgMar w:top="2041" w:right="1304" w:bottom="2041" w:left="1985" w:header="1134" w:footer="1134" w:gutter="0"/>
          <w:cols w:space="708"/>
          <w:titlePg/>
          <w:docGrid w:linePitch="360"/>
        </w:sectPr>
      </w:pPr>
      <w:bookmarkStart w:id="15" w:name="_Toc490827326"/>
    </w:p>
    <w:p w:rsidR="00EF47E9" w:rsidRPr="005B4D1E" w:rsidRDefault="003455EF" w:rsidP="004F4C7B">
      <w:pPr>
        <w:pStyle w:val="berschrift1"/>
        <w:numPr>
          <w:ilvl w:val="0"/>
          <w:numId w:val="78"/>
        </w:numPr>
        <w:ind w:left="851" w:hanging="851"/>
      </w:pPr>
      <w:bookmarkStart w:id="16" w:name="_Ref467595335"/>
      <w:bookmarkStart w:id="17" w:name="_Toc490827347"/>
      <w:bookmarkStart w:id="18" w:name="_Toc491418249"/>
      <w:bookmarkEnd w:id="15"/>
      <w:r>
        <w:lastRenderedPageBreak/>
        <w:t>Legislative und behördliche Wissensdefizite</w:t>
      </w:r>
      <w:r w:rsidR="00D47779" w:rsidRPr="005B4D1E">
        <w:t xml:space="preserve"> </w:t>
      </w:r>
      <w:r w:rsidR="00011A04">
        <w:t>zum</w:t>
      </w:r>
      <w:r w:rsidR="00BC0F55" w:rsidRPr="005B4D1E">
        <w:t xml:space="preserve"> Smart Grid</w:t>
      </w:r>
      <w:bookmarkEnd w:id="16"/>
      <w:bookmarkEnd w:id="17"/>
      <w:bookmarkEnd w:id="18"/>
    </w:p>
    <w:p w:rsidR="004A41F9" w:rsidRPr="009341D9" w:rsidRDefault="004A41F9" w:rsidP="00417FA2">
      <w:pPr>
        <w:pStyle w:val="berschrift2"/>
        <w:numPr>
          <w:ilvl w:val="0"/>
          <w:numId w:val="27"/>
        </w:numPr>
        <w:ind w:left="851" w:hanging="624"/>
      </w:pPr>
      <w:bookmarkStart w:id="19" w:name="_Toc490827348"/>
      <w:bookmarkStart w:id="20" w:name="_Toc491418250"/>
      <w:r w:rsidRPr="009341D9">
        <w:t>Einleitung</w:t>
      </w:r>
      <w:bookmarkEnd w:id="19"/>
      <w:bookmarkEnd w:id="20"/>
      <w:r w:rsidRPr="009341D9">
        <w:t xml:space="preserve"> </w:t>
      </w:r>
    </w:p>
    <w:p w:rsidR="00A67778" w:rsidRDefault="005B4D1E" w:rsidP="006E7507">
      <w:r w:rsidRPr="00BD56CA">
        <w:t>Wie bereits angedeutet</w:t>
      </w:r>
      <w:r w:rsidR="008572F2">
        <w:t>,</w:t>
      </w:r>
      <w:r w:rsidR="002C0BAA" w:rsidRPr="00BD56CA">
        <w:t xml:space="preserve"> waren i</w:t>
      </w:r>
      <w:r w:rsidR="00FF06AC" w:rsidRPr="00BD56CA">
        <w:t>m Energiewirtschaftsrecht seit Einführung des Smart Meter zur Entwicklung eines Smart Grid nicht nur zahlreiche Gesetzesneuerungen zu verzeichnen</w:t>
      </w:r>
      <w:r w:rsidR="00BC0F55" w:rsidRPr="00BD56CA">
        <w:t>,</w:t>
      </w:r>
      <w:r w:rsidR="00FF06AC" w:rsidRPr="00BD56CA">
        <w:t xml:space="preserve"> </w:t>
      </w:r>
      <w:r w:rsidR="002C0BAA" w:rsidRPr="00BD56CA">
        <w:t xml:space="preserve">sondern es wurden </w:t>
      </w:r>
      <w:r w:rsidR="00FF06AC" w:rsidRPr="00BD56CA">
        <w:t xml:space="preserve">auch Verfahren </w:t>
      </w:r>
      <w:r w:rsidR="002C0BAA" w:rsidRPr="00BD56CA">
        <w:t xml:space="preserve">zur Digitalisierung des Energiemarktes, </w:t>
      </w:r>
      <w:r w:rsidR="00FF06AC" w:rsidRPr="00BD56CA">
        <w:t>wie das bei der BNetzA angesiedelte Festlegungsverfahren implementiert, welche den Ge</w:t>
      </w:r>
      <w:r w:rsidR="004346BF" w:rsidRPr="00BD56CA">
        <w:t>setzgeber entlasten sol</w:t>
      </w:r>
      <w:r w:rsidR="004346BF" w:rsidRPr="00BD56CA">
        <w:t>l</w:t>
      </w:r>
      <w:r w:rsidR="004346BF" w:rsidRPr="00BD56CA">
        <w:t xml:space="preserve">ten. </w:t>
      </w:r>
      <w:r w:rsidR="003075BF">
        <w:t xml:space="preserve">Der </w:t>
      </w:r>
      <w:r w:rsidR="00FF06AC" w:rsidRPr="00BD56CA">
        <w:t>energiewirt</w:t>
      </w:r>
      <w:r w:rsidR="00032947">
        <w:t>schaftsrechtliche</w:t>
      </w:r>
      <w:r w:rsidR="003075BF">
        <w:t xml:space="preserve"> Kontext kann aufgrund der </w:t>
      </w:r>
      <w:r w:rsidR="00FF06AC" w:rsidRPr="00BD56CA">
        <w:t>Technisi</w:t>
      </w:r>
      <w:r w:rsidR="00FF06AC" w:rsidRPr="00BD56CA">
        <w:t>e</w:t>
      </w:r>
      <w:r w:rsidR="00FF06AC" w:rsidRPr="00BD56CA">
        <w:t>rung als dynamisch bezeich</w:t>
      </w:r>
      <w:r w:rsidR="003075BF">
        <w:t>net werden, weil</w:t>
      </w:r>
      <w:r w:rsidR="00FF06AC" w:rsidRPr="00BD56CA">
        <w:t xml:space="preserve"> dessen erforderliche Wissen</w:t>
      </w:r>
      <w:r w:rsidR="00FF06AC" w:rsidRPr="00BD56CA">
        <w:t>s</w:t>
      </w:r>
      <w:r w:rsidR="00FF06AC" w:rsidRPr="00BD56CA">
        <w:t>grundlage aus mehreren Quel</w:t>
      </w:r>
      <w:r w:rsidR="003075BF">
        <w:t>len zusammengestellt werden müssen</w:t>
      </w:r>
      <w:r w:rsidR="004346BF" w:rsidRPr="00BD56CA">
        <w:t>,</w:t>
      </w:r>
      <w:r w:rsidR="003075BF">
        <w:t xml:space="preserve"> </w:t>
      </w:r>
      <w:r w:rsidR="00FF06AC" w:rsidRPr="00BD56CA">
        <w:t xml:space="preserve">wie </w:t>
      </w:r>
      <w:r w:rsidR="007B077E">
        <w:t>beispielsweise</w:t>
      </w:r>
      <w:r w:rsidR="00FF06AC" w:rsidRPr="00BD56CA">
        <w:t xml:space="preserve"> dem Marktwissen von Verbänden</w:t>
      </w:r>
      <w:r w:rsidR="007B077E">
        <w:t xml:space="preserve"> und</w:t>
      </w:r>
      <w:r w:rsidR="00FF06AC" w:rsidRPr="00BD56CA">
        <w:t xml:space="preserve"> dem Technikwissen von Informatikern</w:t>
      </w:r>
      <w:r w:rsidR="007B077E">
        <w:t>, wie auch dem Wissen um verbraucherschutzrechtliche oder datenschutzrechtliche Aspekte</w:t>
      </w:r>
      <w:r w:rsidR="00032947">
        <w:t>, welche</w:t>
      </w:r>
      <w:r w:rsidR="007B077E">
        <w:t xml:space="preserve"> bei </w:t>
      </w:r>
      <w:r w:rsidR="006B50CF">
        <w:t xml:space="preserve">Vereinigungen von </w:t>
      </w:r>
      <w:r w:rsidR="007B077E">
        <w:t>Ve</w:t>
      </w:r>
      <w:r w:rsidR="007B077E">
        <w:t>r</w:t>
      </w:r>
      <w:r w:rsidR="007B077E">
        <w:t>braucherschützern oder den Datenschutzaufsichtsbehörden</w:t>
      </w:r>
      <w:r w:rsidR="00032947">
        <w:t xml:space="preserve"> vorhanden sind</w:t>
      </w:r>
      <w:r w:rsidR="003075BF">
        <w:t xml:space="preserve">. Aus diesem Grunde </w:t>
      </w:r>
      <w:r w:rsidR="002C0BAA" w:rsidRPr="00BD56CA">
        <w:t>konnte kaum auf vorhandenes</w:t>
      </w:r>
      <w:r w:rsidR="00FF06AC" w:rsidRPr="00BD56CA">
        <w:t xml:space="preserve"> </w:t>
      </w:r>
      <w:r w:rsidR="00FF06AC" w:rsidRPr="009908F1">
        <w:rPr>
          <w:b/>
        </w:rPr>
        <w:t>Erfahrungswissen</w:t>
      </w:r>
      <w:r w:rsidR="004346BF" w:rsidRPr="00BD56CA">
        <w:t xml:space="preserve"> </w:t>
      </w:r>
      <w:r w:rsidR="007B077E">
        <w:t xml:space="preserve">zum Zusammenwachsen von ehemals getrennten Sachdomänen </w:t>
      </w:r>
      <w:r w:rsidR="004346BF" w:rsidRPr="00BD56CA">
        <w:t>zurückgegriffen werden</w:t>
      </w:r>
      <w:r w:rsidR="00FF06AC" w:rsidRPr="00BD56CA">
        <w:t>, weil dieses</w:t>
      </w:r>
      <w:r w:rsidR="002C0BAA" w:rsidRPr="00BD56CA">
        <w:t xml:space="preserve"> Wissen</w:t>
      </w:r>
      <w:r w:rsidR="00FF06AC" w:rsidRPr="00BD56CA">
        <w:t xml:space="preserve"> aus anderen Netzwirtschaf</w:t>
      </w:r>
      <w:r w:rsidR="003075BF">
        <w:t xml:space="preserve">ten - </w:t>
      </w:r>
      <w:r w:rsidR="00FF06AC" w:rsidRPr="00BD56CA">
        <w:t xml:space="preserve">wie </w:t>
      </w:r>
      <w:r w:rsidR="007B077E">
        <w:t>beispiel</w:t>
      </w:r>
      <w:r w:rsidR="007B077E">
        <w:t>s</w:t>
      </w:r>
      <w:r w:rsidR="007B077E">
        <w:t>weise</w:t>
      </w:r>
      <w:r w:rsidR="00FF06AC" w:rsidRPr="00BD56CA">
        <w:t xml:space="preserve"> dem Telekommunikationssektor - nicht vollständig übertragbar </w:t>
      </w:r>
      <w:r w:rsidR="002C0BAA" w:rsidRPr="00BD56CA">
        <w:t>war. Dies</w:t>
      </w:r>
      <w:r w:rsidR="00FF06AC" w:rsidRPr="00BD56CA">
        <w:t xml:space="preserve"> stellt</w:t>
      </w:r>
      <w:r w:rsidR="00A17CE0" w:rsidRPr="00BD56CA">
        <w:t>e und stellt</w:t>
      </w:r>
      <w:r w:rsidR="00FF06AC" w:rsidRPr="00BD56CA">
        <w:t xml:space="preserve"> Gesetzgeber und Verwaltung </w:t>
      </w:r>
      <w:r w:rsidR="002C0BAA" w:rsidRPr="00BD56CA">
        <w:t>im Hinblick auf</w:t>
      </w:r>
      <w:r w:rsidR="00A17CE0" w:rsidRPr="00BD56CA">
        <w:t xml:space="preserve"> die Wi</w:t>
      </w:r>
      <w:r w:rsidR="00A17CE0" w:rsidRPr="00BD56CA">
        <w:t>s</w:t>
      </w:r>
      <w:r w:rsidR="00A17CE0" w:rsidRPr="00BD56CA">
        <w:t xml:space="preserve">sensgenerierung und -verarbeitung </w:t>
      </w:r>
      <w:r w:rsidR="00FF06AC" w:rsidRPr="00BD56CA">
        <w:t xml:space="preserve">vor große Herausforderungen. </w:t>
      </w:r>
      <w:r w:rsidR="00A17CE0" w:rsidRPr="00BD56CA">
        <w:t>Dass diese Prozes</w:t>
      </w:r>
      <w:r w:rsidR="008572F2">
        <w:t>se der Wissensgenerierung und -</w:t>
      </w:r>
      <w:r w:rsidR="004346BF" w:rsidRPr="00BD56CA">
        <w:t>v</w:t>
      </w:r>
      <w:r w:rsidR="00A17CE0" w:rsidRPr="00BD56CA">
        <w:t>erarbeitung als Vorstufe zu den rechtlich verbindlichen Entscheidungen wie den Erlass eines bestimmten Gesetzes oder eines bestimmten Standards oder Proz</w:t>
      </w:r>
      <w:r w:rsidR="00BC0F55" w:rsidRPr="00BD56CA">
        <w:t>esses im Festlegung</w:t>
      </w:r>
      <w:r w:rsidR="00BC0F55" w:rsidRPr="00BD56CA">
        <w:t>s</w:t>
      </w:r>
      <w:r w:rsidR="00BC0F55" w:rsidRPr="00BD56CA">
        <w:t xml:space="preserve">verfahren teilweise </w:t>
      </w:r>
      <w:r w:rsidR="00FA76D5" w:rsidRPr="00BD56CA">
        <w:t xml:space="preserve">nicht optimal </w:t>
      </w:r>
      <w:r w:rsidR="00A17CE0" w:rsidRPr="00BD56CA">
        <w:t>funktionieren</w:t>
      </w:r>
      <w:r w:rsidR="00FA76D5" w:rsidRPr="00BD56CA">
        <w:t xml:space="preserve"> können</w:t>
      </w:r>
      <w:r w:rsidR="004346BF" w:rsidRPr="00BD56CA">
        <w:t>,</w:t>
      </w:r>
      <w:r w:rsidR="00FA76D5" w:rsidRPr="00BD56CA">
        <w:t xml:space="preserve"> wurde bereits </w:t>
      </w:r>
      <w:r w:rsidR="007B077E">
        <w:t>al</w:t>
      </w:r>
      <w:r w:rsidR="007B077E">
        <w:t>l</w:t>
      </w:r>
      <w:r w:rsidR="007B077E">
        <w:t xml:space="preserve">gemein </w:t>
      </w:r>
      <w:r w:rsidR="00FA76D5" w:rsidRPr="00BD56CA">
        <w:t>dargelegt</w:t>
      </w:r>
      <w:r w:rsidR="00A17CE0" w:rsidRPr="00BD56CA">
        <w:t xml:space="preserve">. Im Folgenden sollen die konkreten Defizite in den </w:t>
      </w:r>
      <w:r w:rsidR="007B077E">
        <w:t>histor</w:t>
      </w:r>
      <w:r w:rsidR="007B077E">
        <w:t>i</w:t>
      </w:r>
      <w:r w:rsidR="007B077E">
        <w:t>sche</w:t>
      </w:r>
      <w:r w:rsidR="00092718">
        <w:t>n</w:t>
      </w:r>
      <w:r w:rsidR="007B077E">
        <w:t xml:space="preserve"> </w:t>
      </w:r>
      <w:r w:rsidR="00032947">
        <w:t>Wissensgenerierungs</w:t>
      </w:r>
      <w:r w:rsidR="00092718">
        <w:t xml:space="preserve">- </w:t>
      </w:r>
      <w:r w:rsidR="00A17CE0" w:rsidRPr="00BD56CA">
        <w:t xml:space="preserve">und Wissensverabeitungsprozessen dargestellt werden, aufgegliedert in </w:t>
      </w:r>
      <w:r w:rsidR="007B077E">
        <w:t>legislative Wissensdefizite</w:t>
      </w:r>
      <w:r w:rsidR="00A17CE0" w:rsidRPr="00BD56CA">
        <w:t xml:space="preserve"> und so</w:t>
      </w:r>
      <w:r w:rsidR="00092718">
        <w:t>lche</w:t>
      </w:r>
      <w:r w:rsidR="00BC0F55" w:rsidRPr="00BD56CA">
        <w:t xml:space="preserve"> der Reguli</w:t>
      </w:r>
      <w:r w:rsidR="00BC0F55" w:rsidRPr="00BD56CA">
        <w:t>e</w:t>
      </w:r>
      <w:r w:rsidR="00BC0F55" w:rsidRPr="00BD56CA">
        <w:t>rungsbehörde al</w:t>
      </w:r>
      <w:r w:rsidR="00A17CE0" w:rsidRPr="00BD56CA">
        <w:t>s Exekutive. Auch wenn ein Zusammenspiel mehrere</w:t>
      </w:r>
      <w:r w:rsidR="00032947">
        <w:t>r</w:t>
      </w:r>
      <w:r w:rsidR="00A17CE0" w:rsidRPr="00BD56CA">
        <w:t xml:space="preserve"> Fa</w:t>
      </w:r>
      <w:r w:rsidR="00A17CE0" w:rsidRPr="00BD56CA">
        <w:t>k</w:t>
      </w:r>
      <w:r w:rsidR="00A17CE0" w:rsidRPr="00BD56CA">
        <w:lastRenderedPageBreak/>
        <w:t>toren und Komponenten zu den er</w:t>
      </w:r>
      <w:r w:rsidR="005A4C74" w:rsidRPr="00BD56CA">
        <w:t xml:space="preserve">läuterten Fehlern geführt hat, soll </w:t>
      </w:r>
      <w:r w:rsidR="00A17CE0" w:rsidRPr="00BD56CA">
        <w:t>A</w:t>
      </w:r>
      <w:r w:rsidR="00A17CE0" w:rsidRPr="00BD56CA">
        <w:t>n</w:t>
      </w:r>
      <w:r w:rsidR="00A17CE0" w:rsidRPr="00BD56CA">
        <w:t>knüpfungspunkt für Problemlösungen bzw. Optimie</w:t>
      </w:r>
      <w:r w:rsidR="00092718">
        <w:t xml:space="preserve">rungsvorschläge </w:t>
      </w:r>
      <w:r w:rsidR="00A17CE0" w:rsidRPr="00BD56CA">
        <w:t>ledi</w:t>
      </w:r>
      <w:r w:rsidR="00A17CE0" w:rsidRPr="00BD56CA">
        <w:t>g</w:t>
      </w:r>
      <w:r w:rsidR="00A17CE0" w:rsidRPr="00BD56CA">
        <w:t>lich das Festlegungsverfahren</w:t>
      </w:r>
      <w:r w:rsidR="00A17CE0" w:rsidRPr="00BD56CA">
        <w:rPr>
          <w:vertAlign w:val="superscript"/>
        </w:rPr>
        <w:footnoteReference w:id="5"/>
      </w:r>
      <w:r w:rsidR="00A17CE0" w:rsidRPr="00BD56CA">
        <w:t xml:space="preserve"> der BNetzA und die dazugehörigen Pro</w:t>
      </w:r>
      <w:r w:rsidR="00A17CE0" w:rsidRPr="00BD56CA">
        <w:t>b</w:t>
      </w:r>
      <w:r w:rsidR="00A17CE0" w:rsidRPr="00BD56CA">
        <w:t>lemkreise sein. Grund hierfür ist, dass Herausforderungen und vor allem Lösungen in dem damit gewählten beschränkten Rahmen besser herausgea</w:t>
      </w:r>
      <w:r w:rsidR="00A17CE0" w:rsidRPr="00BD56CA">
        <w:t>r</w:t>
      </w:r>
      <w:r w:rsidR="00A17CE0" w:rsidRPr="00BD56CA">
        <w:t>beitet werden können und eine spätere Übertragbarkeit erleichtert wird.</w:t>
      </w:r>
      <w:r w:rsidR="00A17CE0" w:rsidRPr="00A55607">
        <w:t xml:space="preserve"> </w:t>
      </w:r>
      <w:r w:rsidR="007B077E">
        <w:t xml:space="preserve">Zudem sind </w:t>
      </w:r>
      <w:r w:rsidR="00092718">
        <w:t xml:space="preserve">für die Zukunft </w:t>
      </w:r>
      <w:r w:rsidR="007B077E">
        <w:t xml:space="preserve">mit der nun expliziten Zuweisung für </w:t>
      </w:r>
      <w:r w:rsidR="007B077E" w:rsidRPr="009908F1">
        <w:rPr>
          <w:b/>
          <w:i/>
        </w:rPr>
        <w:t>produk</w:t>
      </w:r>
      <w:r w:rsidR="007B077E" w:rsidRPr="009908F1">
        <w:rPr>
          <w:b/>
          <w:i/>
        </w:rPr>
        <w:t>t</w:t>
      </w:r>
      <w:r w:rsidR="007B077E" w:rsidRPr="009908F1">
        <w:rPr>
          <w:b/>
          <w:i/>
        </w:rPr>
        <w:t>bezogene Maßnahmen</w:t>
      </w:r>
      <w:r w:rsidR="007B077E">
        <w:t xml:space="preserve"> am Ende der Kommunikationsinfrastruktur an das BSI gleichwohl noch die Fragen von </w:t>
      </w:r>
      <w:r w:rsidR="007B077E" w:rsidRPr="009908F1">
        <w:rPr>
          <w:b/>
          <w:i/>
        </w:rPr>
        <w:t>prozessbezogenen Maßnahmen</w:t>
      </w:r>
      <w:r w:rsidR="007B077E">
        <w:t xml:space="preserve"> der </w:t>
      </w:r>
      <w:r w:rsidR="007B077E" w:rsidRPr="009908F1">
        <w:rPr>
          <w:b/>
          <w:i/>
        </w:rPr>
        <w:t>Marktkommunikation</w:t>
      </w:r>
      <w:r w:rsidR="007B077E">
        <w:t xml:space="preserve"> weitgehend ungelöst</w:t>
      </w:r>
      <w:r w:rsidR="00092718">
        <w:t>.</w:t>
      </w:r>
      <w:r w:rsidR="007B077E">
        <w:t xml:space="preserve"> </w:t>
      </w:r>
      <w:r w:rsidR="00092718">
        <w:t xml:space="preserve">Dabei handelt es sich um eine </w:t>
      </w:r>
      <w:r w:rsidR="007B077E">
        <w:t xml:space="preserve">Sachmaterie, die </w:t>
      </w:r>
      <w:r w:rsidR="002B239A">
        <w:t xml:space="preserve">wegen der </w:t>
      </w:r>
      <w:r w:rsidR="002B239A" w:rsidRPr="009908F1">
        <w:rPr>
          <w:i/>
        </w:rPr>
        <w:t>auch</w:t>
      </w:r>
      <w:r w:rsidR="002B239A">
        <w:t xml:space="preserve"> wettbewerblichen Implikationen </w:t>
      </w:r>
      <w:r w:rsidR="007B077E">
        <w:t>schon in klassischer Betrachtung in der Regulierung</w:t>
      </w:r>
      <w:r w:rsidR="00092718">
        <w:t>s</w:t>
      </w:r>
      <w:r w:rsidR="007B077E">
        <w:t>zuständigkeit der BNetzA ve</w:t>
      </w:r>
      <w:r w:rsidR="007B077E">
        <w:t>r</w:t>
      </w:r>
      <w:r w:rsidR="007B077E">
        <w:t xml:space="preserve">bleiben wird. </w:t>
      </w:r>
    </w:p>
    <w:p w:rsidR="004A41F9" w:rsidRDefault="00FA76D5" w:rsidP="00F30386">
      <w:pPr>
        <w:pStyle w:val="berschrift2"/>
        <w:ind w:left="851" w:hanging="454"/>
      </w:pPr>
      <w:bookmarkStart w:id="21" w:name="_Ref467595367"/>
      <w:bookmarkStart w:id="22" w:name="_Toc490827349"/>
      <w:bookmarkStart w:id="23" w:name="_Toc491418251"/>
      <w:r>
        <w:t xml:space="preserve">Einzelne </w:t>
      </w:r>
      <w:r w:rsidR="003455EF">
        <w:t>legislative Wissensdefizite</w:t>
      </w:r>
      <w:bookmarkEnd w:id="21"/>
      <w:bookmarkEnd w:id="22"/>
      <w:bookmarkEnd w:id="23"/>
    </w:p>
    <w:p w:rsidR="00370E39" w:rsidRDefault="00941F88" w:rsidP="00417FA2">
      <w:pPr>
        <w:pStyle w:val="berschrift3"/>
        <w:numPr>
          <w:ilvl w:val="0"/>
          <w:numId w:val="28"/>
        </w:numPr>
        <w:ind w:left="851" w:hanging="851"/>
      </w:pPr>
      <w:bookmarkStart w:id="24" w:name="_Toc490827350"/>
      <w:bookmarkStart w:id="25" w:name="_Toc491418252"/>
      <w:r>
        <w:t>Ausgestaltung des rechtlichen Rahmens</w:t>
      </w:r>
      <w:bookmarkEnd w:id="24"/>
      <w:bookmarkEnd w:id="25"/>
    </w:p>
    <w:p w:rsidR="004F2FA2" w:rsidRDefault="006B1DE8" w:rsidP="006E7507">
      <w:r>
        <w:t>Mit der Novellierung des EnWG im Jahr 2011 wurde - motiviert durch die Einführung von kommunikativ vernetz</w:t>
      </w:r>
      <w:r w:rsidR="00C07FB0">
        <w:t>en Messsystemen - mit den §§ 21</w:t>
      </w:r>
      <w:r>
        <w:t>g-i EnWG erstmals datenschutzrechtliche Regelungen in das EnWG aufg</w:t>
      </w:r>
      <w:r>
        <w:t>e</w:t>
      </w:r>
      <w:r>
        <w:t xml:space="preserve">nommen. </w:t>
      </w:r>
      <w:r w:rsidR="00E25E6F">
        <w:t>Bei der Konzeption der Normen wurden jedoch</w:t>
      </w:r>
      <w:r w:rsidR="00FA76D5">
        <w:t xml:space="preserve"> auf mehreren Ebenen</w:t>
      </w:r>
      <w:r w:rsidR="00E25E6F">
        <w:t xml:space="preserve"> die energiewirtschaftlichen Rahmenbedingungen nicht hinreichend zur Kenntnis genommen. Dies gilt insbesondere für die bestehenden ve</w:t>
      </w:r>
      <w:r w:rsidR="00E25E6F">
        <w:t>r</w:t>
      </w:r>
      <w:r w:rsidR="00E25E6F">
        <w:t xml:space="preserve">bindlichen </w:t>
      </w:r>
      <w:r w:rsidR="00E25E6F" w:rsidRPr="005757C0">
        <w:rPr>
          <w:b/>
          <w:i/>
        </w:rPr>
        <w:t>Vorgaben der elektronischen Marktkommunikation</w:t>
      </w:r>
      <w:r w:rsidR="00DE6D11">
        <w:t>,</w:t>
      </w:r>
      <w:r w:rsidR="00E25E6F">
        <w:t xml:space="preserve"> aber tei</w:t>
      </w:r>
      <w:r w:rsidR="00E25E6F">
        <w:t>l</w:t>
      </w:r>
      <w:r w:rsidR="00E25E6F">
        <w:t xml:space="preserve">weise auch hinsichtlich der </w:t>
      </w:r>
      <w:r w:rsidR="00E25E6F" w:rsidRPr="005757C0">
        <w:rPr>
          <w:b/>
          <w:i/>
        </w:rPr>
        <w:t>klimapolitischen Zielsetzungen</w:t>
      </w:r>
      <w:r w:rsidR="00E25E6F">
        <w:t xml:space="preserve">, die seit der </w:t>
      </w:r>
      <w:r w:rsidR="00E25E6F">
        <w:lastRenderedPageBreak/>
        <w:t xml:space="preserve">Einführung der Smart Meter </w:t>
      </w:r>
      <w:r w:rsidR="00DE6D11">
        <w:t xml:space="preserve">beim Endkunden verfolgt werden sowie </w:t>
      </w:r>
      <w:r w:rsidR="005757C0">
        <w:t>bezü</w:t>
      </w:r>
      <w:r w:rsidR="005757C0">
        <w:t>g</w:t>
      </w:r>
      <w:r w:rsidR="005757C0">
        <w:t xml:space="preserve">lich der </w:t>
      </w:r>
      <w:r w:rsidR="00DE6D11">
        <w:t xml:space="preserve">notwendigen </w:t>
      </w:r>
      <w:r w:rsidR="00DE6D11" w:rsidRPr="005757C0">
        <w:rPr>
          <w:b/>
          <w:i/>
        </w:rPr>
        <w:t>verfahrensrechtlichen Gestaltungen</w:t>
      </w:r>
      <w:r w:rsidR="00DE6D11">
        <w:t xml:space="preserve">. </w:t>
      </w:r>
    </w:p>
    <w:p w:rsidR="00FA76D5" w:rsidRDefault="004F2FA2" w:rsidP="006E7507">
      <w:r>
        <w:t>Im</w:t>
      </w:r>
      <w:r w:rsidR="00FA76D5">
        <w:t xml:space="preserve"> Rahmen einer Bestandsaufnahme defizitärer</w:t>
      </w:r>
      <w:r w:rsidR="00032947">
        <w:t xml:space="preserve"> energiewirtschaftlicher</w:t>
      </w:r>
      <w:r>
        <w:t xml:space="preserve"> Rahmenbedingungen wird </w:t>
      </w:r>
      <w:r w:rsidR="00DE6D11">
        <w:t xml:space="preserve">im Folgenden </w:t>
      </w:r>
      <w:r>
        <w:t>zunächst das</w:t>
      </w:r>
      <w:r w:rsidR="004346BF">
        <w:t xml:space="preserve"> </w:t>
      </w:r>
      <w:r w:rsidR="00FA76D5" w:rsidRPr="005757C0">
        <w:rPr>
          <w:b/>
          <w:i/>
        </w:rPr>
        <w:t xml:space="preserve">materielle </w:t>
      </w:r>
      <w:r w:rsidR="00E25E6F" w:rsidRPr="005757C0">
        <w:rPr>
          <w:b/>
          <w:i/>
        </w:rPr>
        <w:t>date</w:t>
      </w:r>
      <w:r w:rsidR="00E25E6F" w:rsidRPr="005757C0">
        <w:rPr>
          <w:b/>
          <w:i/>
        </w:rPr>
        <w:t>n</w:t>
      </w:r>
      <w:r w:rsidR="00E25E6F" w:rsidRPr="005757C0">
        <w:rPr>
          <w:b/>
          <w:i/>
        </w:rPr>
        <w:t>schutzrechtliche Konzept</w:t>
      </w:r>
      <w:r w:rsidR="00E25E6F">
        <w:t xml:space="preserve"> </w:t>
      </w:r>
      <w:r w:rsidR="00DE6D11">
        <w:t>mit seinen</w:t>
      </w:r>
      <w:r w:rsidR="00E25E6F">
        <w:t xml:space="preserve"> Schw</w:t>
      </w:r>
      <w:r w:rsidR="00032947">
        <w:t>erpunkten</w:t>
      </w:r>
      <w:r w:rsidR="00E25E6F">
        <w:t xml:space="preserve"> </w:t>
      </w:r>
      <w:r>
        <w:t xml:space="preserve">erläutert. </w:t>
      </w:r>
    </w:p>
    <w:p w:rsidR="006B1DE8" w:rsidRDefault="004F2FA2" w:rsidP="006E7507">
      <w:r>
        <w:t>Daraufhin wird</w:t>
      </w:r>
      <w:r w:rsidR="00DE6D11">
        <w:t xml:space="preserve"> auf</w:t>
      </w:r>
      <w:r>
        <w:t xml:space="preserve"> </w:t>
      </w:r>
      <w:r w:rsidR="00DE6D11">
        <w:t xml:space="preserve">den </w:t>
      </w:r>
      <w:r w:rsidR="00DE6D11" w:rsidRPr="005757C0">
        <w:rPr>
          <w:b/>
          <w:i/>
        </w:rPr>
        <w:t>technischen Datenschutz</w:t>
      </w:r>
      <w:r w:rsidR="00DE6D11">
        <w:t xml:space="preserve"> und damit auf </w:t>
      </w:r>
      <w:r>
        <w:t>das ers</w:t>
      </w:r>
      <w:r>
        <w:t>t</w:t>
      </w:r>
      <w:r>
        <w:t xml:space="preserve">mals eingeführte </w:t>
      </w:r>
      <w:r w:rsidR="00FA76D5" w:rsidRPr="00032947">
        <w:t xml:space="preserve">materielle </w:t>
      </w:r>
      <w:r w:rsidR="005D2A60">
        <w:t>Prinzip der Datenhoheit</w:t>
      </w:r>
      <w:r w:rsidR="00DE6D11">
        <w:t xml:space="preserve"> und </w:t>
      </w:r>
      <w:r w:rsidR="00032947">
        <w:t xml:space="preserve">schließlich aus </w:t>
      </w:r>
      <w:r w:rsidR="00FA76D5" w:rsidRPr="00032947">
        <w:t xml:space="preserve">verfahrensrechtlicher </w:t>
      </w:r>
      <w:r w:rsidR="00FA76D5">
        <w:t xml:space="preserve">Perspektive </w:t>
      </w:r>
      <w:r w:rsidR="00032947">
        <w:t xml:space="preserve">und </w:t>
      </w:r>
      <w:r w:rsidR="00DE6D11">
        <w:t xml:space="preserve">dessen </w:t>
      </w:r>
      <w:r w:rsidR="00DE6D11" w:rsidRPr="005757C0">
        <w:rPr>
          <w:b/>
          <w:i/>
        </w:rPr>
        <w:t>Sicherung durch technische Schutzprofile</w:t>
      </w:r>
      <w:r w:rsidR="005D2A60">
        <w:t xml:space="preserve"> eingegangen.</w:t>
      </w:r>
      <w:r w:rsidR="006D171B">
        <w:t xml:space="preserve"> </w:t>
      </w:r>
    </w:p>
    <w:p w:rsidR="00370E39" w:rsidRDefault="00D561C8" w:rsidP="00417FA2">
      <w:pPr>
        <w:pStyle w:val="berschrift4"/>
        <w:numPr>
          <w:ilvl w:val="0"/>
          <w:numId w:val="29"/>
        </w:numPr>
        <w:ind w:left="851" w:hanging="851"/>
      </w:pPr>
      <w:bookmarkStart w:id="26" w:name="_Toc490827351"/>
      <w:r>
        <w:t>Vier</w:t>
      </w:r>
      <w:r w:rsidR="00092718">
        <w:t>-</w:t>
      </w:r>
      <w:r w:rsidR="001B3ADC">
        <w:t>Säulenmodell</w:t>
      </w:r>
      <w:bookmarkEnd w:id="26"/>
      <w:r w:rsidR="00370E39">
        <w:t xml:space="preserve"> </w:t>
      </w:r>
    </w:p>
    <w:p w:rsidR="00542C14" w:rsidRPr="00430799" w:rsidRDefault="006135CB" w:rsidP="00B10FE7">
      <w:r>
        <w:t xml:space="preserve">Bei der Einführung der materiellen Datenschutzregelungen in das EnWG hatte sich der Gesetzgeber auf </w:t>
      </w:r>
      <w:r w:rsidR="005757C0">
        <w:t xml:space="preserve">als </w:t>
      </w:r>
      <w:r w:rsidR="00641994">
        <w:t>zentralen Säulen konzipierte</w:t>
      </w:r>
      <w:r w:rsidR="00045E31">
        <w:t xml:space="preserve"> </w:t>
      </w:r>
      <w:r>
        <w:t>grundlegende Bestimmungen beschränkt, da a</w:t>
      </w:r>
      <w:r w:rsidRPr="00163D57">
        <w:t>ngesichts der Fülle</w:t>
      </w:r>
      <w:r>
        <w:t xml:space="preserve"> und des notwendigen </w:t>
      </w:r>
      <w:r w:rsidRPr="00430799">
        <w:t xml:space="preserve">Detaillierungsgrades erst </w:t>
      </w:r>
      <w:r w:rsidR="00032947">
        <w:t xml:space="preserve">die Verordnung </w:t>
      </w:r>
      <w:r w:rsidRPr="00430799">
        <w:t xml:space="preserve">die genannten Konkretisierungen </w:t>
      </w:r>
      <w:r w:rsidR="00032947">
        <w:t xml:space="preserve">in Form von </w:t>
      </w:r>
      <w:r w:rsidRPr="00430799">
        <w:t>spezielle</w:t>
      </w:r>
      <w:r w:rsidR="00032947">
        <w:t>n</w:t>
      </w:r>
      <w:r w:rsidRPr="00430799">
        <w:t xml:space="preserve"> technische</w:t>
      </w:r>
      <w:r w:rsidR="00032947">
        <w:t>n</w:t>
      </w:r>
      <w:r w:rsidRPr="00430799">
        <w:t xml:space="preserve"> Vorgaben enthalten</w:t>
      </w:r>
      <w:r w:rsidR="00641994" w:rsidRPr="00430799">
        <w:t xml:space="preserve"> sollten</w:t>
      </w:r>
      <w:r w:rsidR="00542C14" w:rsidRPr="00430799">
        <w:t>.</w:t>
      </w:r>
      <w:r w:rsidR="00542C14" w:rsidRPr="00430799">
        <w:rPr>
          <w:rStyle w:val="Funotenzeichen"/>
        </w:rPr>
        <w:footnoteReference w:id="6"/>
      </w:r>
      <w:r w:rsidR="00542C14" w:rsidRPr="00430799">
        <w:t xml:space="preserve"> </w:t>
      </w:r>
      <w:r w:rsidR="00045E31" w:rsidRPr="00430799">
        <w:t xml:space="preserve">Geplant </w:t>
      </w:r>
      <w:proofErr w:type="gramStart"/>
      <w:r w:rsidR="00045E31" w:rsidRPr="00430799">
        <w:t>war</w:t>
      </w:r>
      <w:proofErr w:type="gramEnd"/>
      <w:r w:rsidR="00045E31" w:rsidRPr="00430799">
        <w:t xml:space="preserve"> die Regelung der </w:t>
      </w:r>
      <w:r w:rsidR="00542C14" w:rsidRPr="00430799">
        <w:t>Mindestfunkt</w:t>
      </w:r>
      <w:r w:rsidR="00092718">
        <w:t>ionalitäten der Messsysteme, die</w:t>
      </w:r>
      <w:r w:rsidR="00542C14" w:rsidRPr="00430799">
        <w:t xml:space="preserve"> Ve</w:t>
      </w:r>
      <w:r w:rsidR="00542C14" w:rsidRPr="00430799">
        <w:t>r</w:t>
      </w:r>
      <w:r w:rsidR="00542C14" w:rsidRPr="00430799">
        <w:t>pflichtung zum Einbau der Messsysteme in gesetzli</w:t>
      </w:r>
      <w:r w:rsidR="00045E31" w:rsidRPr="00430799">
        <w:t xml:space="preserve">ch festgelegten Fällen sowie </w:t>
      </w:r>
      <w:r w:rsidR="00092718">
        <w:t xml:space="preserve">die </w:t>
      </w:r>
      <w:r w:rsidR="00542C14" w:rsidRPr="00430799">
        <w:t>bereichsspezifische Verankerung von Datenschutz und Datens</w:t>
      </w:r>
      <w:r w:rsidR="00542C14" w:rsidRPr="00430799">
        <w:t>i</w:t>
      </w:r>
      <w:r w:rsidR="00542C14" w:rsidRPr="00430799">
        <w:t xml:space="preserve">cherheit </w:t>
      </w:r>
      <w:r w:rsidR="00092718">
        <w:t>zum Schutz</w:t>
      </w:r>
      <w:r w:rsidR="00430799">
        <w:t xml:space="preserve"> der Verbraucherinter</w:t>
      </w:r>
      <w:r w:rsidR="00542C14" w:rsidRPr="00430799">
        <w:t>essen</w:t>
      </w:r>
      <w:r w:rsidRPr="00430799">
        <w:t>.</w:t>
      </w:r>
      <w:r w:rsidR="00641994" w:rsidRPr="00430799">
        <w:rPr>
          <w:rStyle w:val="Funotenzeichen"/>
        </w:rPr>
        <w:footnoteReference w:id="7"/>
      </w:r>
      <w:r w:rsidRPr="00430799">
        <w:t xml:space="preserve"> </w:t>
      </w:r>
    </w:p>
    <w:p w:rsidR="008649FA" w:rsidRDefault="008711C0" w:rsidP="00B10FE7">
      <w:r>
        <w:t>Während das BDSG für die Gewährleistung eine</w:t>
      </w:r>
      <w:r w:rsidR="00092718">
        <w:t>s</w:t>
      </w:r>
      <w:r>
        <w:t xml:space="preserve"> prozessbezogenen Date</w:t>
      </w:r>
      <w:r>
        <w:t>n</w:t>
      </w:r>
      <w:r>
        <w:t>schutzes die notwendigen Schutzprinzipien entlang der gesetzlich vorgeg</w:t>
      </w:r>
      <w:r>
        <w:t>e</w:t>
      </w:r>
      <w:r>
        <w:t xml:space="preserve">benen Prozesskette </w:t>
      </w:r>
      <w:r w:rsidR="006135CB">
        <w:t>vollständig implementiert</w:t>
      </w:r>
      <w:r>
        <w:t xml:space="preserve">, wird </w:t>
      </w:r>
      <w:r w:rsidR="006135CB">
        <w:t xml:space="preserve">im EnWG als der </w:t>
      </w:r>
      <w:r>
        <w:t>spez</w:t>
      </w:r>
      <w:r>
        <w:t>i</w:t>
      </w:r>
      <w:r>
        <w:t xml:space="preserve">elleren Regelung der Fokus lediglich auf </w:t>
      </w:r>
      <w:r w:rsidR="006135CB">
        <w:t>den Datenschutz des Produktes Smart Meter und seiner technischen Komponenten gelegt. Grund hierfür ist, dass auswe</w:t>
      </w:r>
      <w:r w:rsidR="00CE7660">
        <w:t xml:space="preserve">islich der Gesetzesmaterialien </w:t>
      </w:r>
      <w:r w:rsidR="006135CB">
        <w:t xml:space="preserve">die gesetzlichen Regelungen im </w:t>
      </w:r>
      <w:r w:rsidR="006135CB">
        <w:lastRenderedPageBreak/>
        <w:t>Wesentlichen als stark nutzerzentriertes Schutzkonzept konzipiert wurden.</w:t>
      </w:r>
      <w:r w:rsidR="006135CB">
        <w:rPr>
          <w:rStyle w:val="Funotenzeichen"/>
        </w:rPr>
        <w:footnoteReference w:id="8"/>
      </w:r>
      <w:r w:rsidR="006135CB">
        <w:t xml:space="preserve"> Dieses baut auf dem </w:t>
      </w:r>
      <w:r w:rsidR="005307B6">
        <w:t xml:space="preserve">neuen </w:t>
      </w:r>
      <w:r w:rsidR="006135CB">
        <w:t>Prinzip der „Datenhoheit des Anschlussnutzers“ auf, mit</w:t>
      </w:r>
      <w:r w:rsidR="00092718">
        <w:t xml:space="preserve"> dessen gesetzlicher Umsetzung </w:t>
      </w:r>
      <w:r w:rsidR="006135CB">
        <w:t>der Gesetzgeber seiner aus dem verpflichtenden Einbau von Smart Metern resultierenden Folgen</w:t>
      </w:r>
      <w:r w:rsidR="005307B6">
        <w:t>-</w:t>
      </w:r>
      <w:r w:rsidR="006135CB">
        <w:t xml:space="preserve"> bzw. G</w:t>
      </w:r>
      <w:r w:rsidR="006135CB">
        <w:t>e</w:t>
      </w:r>
      <w:r w:rsidR="006135CB">
        <w:t xml:space="preserve">währleistungsverantwortung gerecht werden wollte. </w:t>
      </w:r>
    </w:p>
    <w:p w:rsidR="00874FF5" w:rsidRPr="00F62240" w:rsidRDefault="00484735" w:rsidP="00B10FE7">
      <w:r>
        <w:t>Kernelement</w:t>
      </w:r>
      <w:r w:rsidR="008649FA">
        <w:t xml:space="preserve"> der datenschutzrechtlichen Regelungen stellt</w:t>
      </w:r>
      <w:r w:rsidR="005757C0">
        <w:t>e</w:t>
      </w:r>
      <w:r w:rsidR="00C07FB0">
        <w:t xml:space="preserve"> § 21</w:t>
      </w:r>
      <w:r w:rsidR="008649FA">
        <w:t xml:space="preserve">g EnWG dar. </w:t>
      </w:r>
      <w:r w:rsidR="008649FA" w:rsidRPr="00962B00">
        <w:t xml:space="preserve">Der </w:t>
      </w:r>
      <w:r w:rsidR="008649FA" w:rsidRPr="00914D59">
        <w:rPr>
          <w:b/>
        </w:rPr>
        <w:t xml:space="preserve">Zweck </w:t>
      </w:r>
      <w:r w:rsidR="008649FA">
        <w:t>der einzelnen materiellen Normierungen des § 21g</w:t>
      </w:r>
      <w:r w:rsidR="005757C0">
        <w:t xml:space="preserve"> </w:t>
      </w:r>
      <w:r>
        <w:t xml:space="preserve">EnWG </w:t>
      </w:r>
      <w:r w:rsidR="005757C0">
        <w:t>erschloss</w:t>
      </w:r>
      <w:r w:rsidR="008649FA" w:rsidRPr="00962B00">
        <w:t xml:space="preserve"> sich in weiten Teilen erst aus einer </w:t>
      </w:r>
      <w:r w:rsidR="008649FA" w:rsidRPr="00406256">
        <w:rPr>
          <w:b/>
        </w:rPr>
        <w:t xml:space="preserve">Gesamtschau </w:t>
      </w:r>
      <w:r w:rsidR="008649FA" w:rsidRPr="00914D59">
        <w:t>der datenschut</w:t>
      </w:r>
      <w:r w:rsidR="008649FA" w:rsidRPr="00914D59">
        <w:t>z</w:t>
      </w:r>
      <w:r w:rsidR="008649FA" w:rsidRPr="00914D59">
        <w:t>rechtlich wirkenden Normen</w:t>
      </w:r>
      <w:r w:rsidR="008649FA" w:rsidRPr="00962B00">
        <w:t xml:space="preserve">, welche </w:t>
      </w:r>
      <w:r w:rsidR="008649FA" w:rsidRPr="00036A6A">
        <w:t>das gesetzliche Schutzkonzept</w:t>
      </w:r>
      <w:r w:rsidR="008649FA">
        <w:t xml:space="preserve"> </w:t>
      </w:r>
      <w:r w:rsidR="008649FA" w:rsidRPr="00036A6A">
        <w:t>des novellierten EnWG</w:t>
      </w:r>
      <w:r w:rsidR="008649FA">
        <w:t xml:space="preserve"> </w:t>
      </w:r>
      <w:r w:rsidR="008649FA" w:rsidRPr="00036A6A">
        <w:rPr>
          <w:rStyle w:val="Funotenzeichen"/>
        </w:rPr>
        <w:footnoteReference w:id="9"/>
      </w:r>
      <w:r w:rsidR="008649FA" w:rsidRPr="00962B00">
        <w:t xml:space="preserve"> </w:t>
      </w:r>
      <w:r w:rsidR="005757C0" w:rsidRPr="00962B00">
        <w:t>bilde</w:t>
      </w:r>
      <w:r w:rsidR="005757C0">
        <w:t>ten</w:t>
      </w:r>
      <w:r w:rsidR="008649FA" w:rsidRPr="00962B00">
        <w:t>. Let</w:t>
      </w:r>
      <w:r w:rsidR="008649FA">
        <w:t>zteres</w:t>
      </w:r>
      <w:r w:rsidR="005757C0">
        <w:t xml:space="preserve"> ließ</w:t>
      </w:r>
      <w:r w:rsidR="008649FA">
        <w:t xml:space="preserve"> sich</w:t>
      </w:r>
      <w:r w:rsidR="00092718">
        <w:t>,</w:t>
      </w:r>
      <w:r w:rsidR="005307B6">
        <w:t xml:space="preserve"> wie dargelegt</w:t>
      </w:r>
      <w:r w:rsidR="00092718">
        <w:t xml:space="preserve">, </w:t>
      </w:r>
      <w:r w:rsidR="008649FA" w:rsidRPr="008649FA">
        <w:t>im Wesen</w:t>
      </w:r>
      <w:r w:rsidR="008649FA" w:rsidRPr="008649FA">
        <w:t>t</w:t>
      </w:r>
      <w:r w:rsidR="008649FA" w:rsidRPr="008649FA">
        <w:t xml:space="preserve">lichen </w:t>
      </w:r>
      <w:r w:rsidR="008649FA" w:rsidRPr="00962B00">
        <w:t>in vi</w:t>
      </w:r>
      <w:r w:rsidR="00DA6040">
        <w:t xml:space="preserve">er Säulen aufgliedern, </w:t>
      </w:r>
      <w:r w:rsidR="00641994" w:rsidRPr="008649FA">
        <w:t>welche</w:t>
      </w:r>
      <w:r w:rsidR="008649FA">
        <w:t xml:space="preserve"> </w:t>
      </w:r>
      <w:r w:rsidR="00DA6040">
        <w:t xml:space="preserve">den </w:t>
      </w:r>
      <w:r w:rsidR="006135CB" w:rsidRPr="008649FA">
        <w:t>Teilbereiche</w:t>
      </w:r>
      <w:r w:rsidR="00DA6040">
        <w:t>n</w:t>
      </w:r>
      <w:r w:rsidR="006135CB" w:rsidRPr="008649FA">
        <w:t xml:space="preserve"> der materiell-rechtlichen Regelungen, der Rechtsverordnungsermächtigungen</w:t>
      </w:r>
      <w:r w:rsidR="005307B6">
        <w:t xml:space="preserve"> </w:t>
      </w:r>
      <w:r w:rsidR="006135CB" w:rsidRPr="008649FA">
        <w:t>sowie den datensicherheit</w:t>
      </w:r>
      <w:r w:rsidR="008649FA">
        <w:t xml:space="preserve">srechtlichen Vorgaben </w:t>
      </w:r>
      <w:r w:rsidR="005757C0">
        <w:t>untergeordnet werden ko</w:t>
      </w:r>
      <w:r w:rsidR="00DA6040">
        <w:t>nn</w:t>
      </w:r>
      <w:r w:rsidR="005757C0">
        <w:t>t</w:t>
      </w:r>
      <w:r w:rsidR="00DA6040">
        <w:t>e</w:t>
      </w:r>
      <w:r w:rsidR="005757C0">
        <w:t>n</w:t>
      </w:r>
      <w:r w:rsidR="006135CB" w:rsidRPr="008649FA">
        <w:t>.</w:t>
      </w:r>
      <w:r w:rsidR="006135CB" w:rsidRPr="008649FA">
        <w:rPr>
          <w:rStyle w:val="Funotenzeichen"/>
        </w:rPr>
        <w:footnoteReference w:id="10"/>
      </w:r>
      <w:r w:rsidR="00DA6040">
        <w:t xml:space="preserve"> </w:t>
      </w:r>
      <w:r w:rsidR="00874FF5">
        <w:t>Ve</w:t>
      </w:r>
      <w:r w:rsidR="00874FF5">
        <w:t>r</w:t>
      </w:r>
      <w:r w:rsidR="00874FF5">
        <w:t>anschaulichend stellt sich</w:t>
      </w:r>
      <w:r w:rsidR="006135CB">
        <w:t xml:space="preserve"> das Modell folgendermaßen dar.</w:t>
      </w:r>
    </w:p>
    <w:p w:rsidR="00542C14" w:rsidRDefault="00542C14" w:rsidP="00417FA2">
      <w:pPr>
        <w:pStyle w:val="berschrift5"/>
        <w:numPr>
          <w:ilvl w:val="0"/>
          <w:numId w:val="30"/>
        </w:numPr>
        <w:ind w:left="851" w:hanging="709"/>
      </w:pPr>
      <w:bookmarkStart w:id="27" w:name="_Toc490827352"/>
      <w:r>
        <w:t>Erste Säule</w:t>
      </w:r>
      <w:r w:rsidR="00874FF5">
        <w:t xml:space="preserve"> </w:t>
      </w:r>
      <w:r w:rsidR="001B75EE">
        <w:t>– materieller Grundbestand datenschutzrechtlicher Regelungen</w:t>
      </w:r>
      <w:bookmarkEnd w:id="27"/>
    </w:p>
    <w:p w:rsidR="00C03678" w:rsidRPr="00CE7660" w:rsidRDefault="00874FF5" w:rsidP="006E7507">
      <w:r>
        <w:t>Im Gesetz selbst war</w:t>
      </w:r>
      <w:r w:rsidRPr="00F62240">
        <w:t xml:space="preserve"> in den §§ 21g und h EnWG neben der Statuierung eines neuen, grundlegend nutzerzentrierten Schutzkonzeptes ein materieller Grundbestand an datenschutzrechtlichen Minimalregelungen und insbeso</w:t>
      </w:r>
      <w:r w:rsidRPr="00F62240">
        <w:t>n</w:t>
      </w:r>
      <w:r w:rsidRPr="00F62240">
        <w:t>dere zulässigen Zwecken der Datenverwendung normiert.</w:t>
      </w:r>
      <w:r w:rsidRPr="00F62240">
        <w:rPr>
          <w:vertAlign w:val="superscript"/>
        </w:rPr>
        <w:footnoteReference w:id="11"/>
      </w:r>
      <w:r w:rsidR="00EE6F49">
        <w:t xml:space="preserve"> </w:t>
      </w:r>
      <w:r w:rsidR="00CE7660" w:rsidRPr="00CE7660">
        <w:t xml:space="preserve">§ 21g Abs. 1 </w:t>
      </w:r>
      <w:r w:rsidR="00484735">
        <w:t>EnWG</w:t>
      </w:r>
      <w:r w:rsidR="00CE7660" w:rsidRPr="00CE7660">
        <w:t>stellt</w:t>
      </w:r>
      <w:r w:rsidR="005757C0">
        <w:t>e</w:t>
      </w:r>
      <w:r w:rsidR="00CE7660" w:rsidRPr="00CE7660">
        <w:t xml:space="preserve"> </w:t>
      </w:r>
      <w:r w:rsidR="00CE7660">
        <w:t xml:space="preserve">dabei </w:t>
      </w:r>
      <w:r w:rsidR="00CE7660" w:rsidRPr="00CE7660">
        <w:t>die materielle Grundnorm für Datenverwendungen im EnWG dar. Sie bestimmt</w:t>
      </w:r>
      <w:r w:rsidR="005757C0">
        <w:t>e</w:t>
      </w:r>
      <w:r w:rsidR="00092718">
        <w:t>,</w:t>
      </w:r>
      <w:r w:rsidR="00CE7660" w:rsidRPr="00CE7660">
        <w:t xml:space="preserve"> unter welchen materiellen Voraussetzungen und für welche Zwecke die zum Datenumgang berechtigten Stellen mit pers</w:t>
      </w:r>
      <w:r w:rsidR="00CE7660" w:rsidRPr="00CE7660">
        <w:t>o</w:t>
      </w:r>
      <w:r w:rsidR="00CE7660" w:rsidRPr="00CE7660">
        <w:lastRenderedPageBreak/>
        <w:t>nenbezogenen Daten im Konte</w:t>
      </w:r>
      <w:r w:rsidR="005757C0">
        <w:t>xt des Messsystems umgehen durfte</w:t>
      </w:r>
      <w:r w:rsidR="00CE7660" w:rsidRPr="00CE7660">
        <w:t>n.</w:t>
      </w:r>
      <w:r w:rsidR="00CE7660">
        <w:rPr>
          <w:rStyle w:val="Funotenzeichen"/>
        </w:rPr>
        <w:footnoteReference w:id="12"/>
      </w:r>
      <w:r w:rsidR="00EE6F49">
        <w:t xml:space="preserve"> </w:t>
      </w:r>
      <w:r w:rsidR="001B75EE" w:rsidRPr="00CE7660">
        <w:t xml:space="preserve">Indem </w:t>
      </w:r>
      <w:r w:rsidR="00542C14" w:rsidRPr="00CE7660">
        <w:t xml:space="preserve">§ 21g EnWG </w:t>
      </w:r>
      <w:r w:rsidR="001B75EE" w:rsidRPr="00CE7660">
        <w:t>das Prinzip des Verbots mit Erlaubnisvorbehalt konstituiert</w:t>
      </w:r>
      <w:r w:rsidR="005757C0">
        <w:t>e</w:t>
      </w:r>
      <w:r w:rsidR="001B75EE" w:rsidRPr="00CE7660">
        <w:t xml:space="preserve"> (vgl. § 4 Abs. 1 BDSG), </w:t>
      </w:r>
      <w:r w:rsidR="00542C14" w:rsidRPr="00CE7660">
        <w:t>stellt</w:t>
      </w:r>
      <w:r w:rsidR="005757C0">
        <w:t>e</w:t>
      </w:r>
      <w:r w:rsidR="00542C14" w:rsidRPr="00CE7660">
        <w:t xml:space="preserve"> </w:t>
      </w:r>
      <w:r w:rsidR="001B75EE" w:rsidRPr="00CE7660">
        <w:t xml:space="preserve">er </w:t>
      </w:r>
      <w:r w:rsidR="00542C14" w:rsidRPr="00CE7660">
        <w:t>die zentrale Vorschrift des bereichsspez</w:t>
      </w:r>
      <w:r w:rsidR="00542C14" w:rsidRPr="00CE7660">
        <w:t>i</w:t>
      </w:r>
      <w:r w:rsidR="00542C14" w:rsidRPr="00CE7660">
        <w:t>fischen Datenschutzrechts des EnWG</w:t>
      </w:r>
      <w:r w:rsidR="00C03678" w:rsidRPr="00CE7660">
        <w:t xml:space="preserve"> dar</w:t>
      </w:r>
      <w:r w:rsidR="00542C14" w:rsidRPr="00CE7660">
        <w:t>.</w:t>
      </w:r>
      <w:r w:rsidR="00542C14" w:rsidRPr="00CE7660">
        <w:rPr>
          <w:rStyle w:val="Funotenzeichen"/>
        </w:rPr>
        <w:footnoteReference w:id="13"/>
      </w:r>
      <w:r w:rsidR="00542C14" w:rsidRPr="00CE7660">
        <w:t xml:space="preserve"> </w:t>
      </w:r>
      <w:r w:rsidR="00C03678" w:rsidRPr="00CE7660">
        <w:t>Dieser besagt</w:t>
      </w:r>
      <w:r w:rsidR="005757C0">
        <w:t>e</w:t>
      </w:r>
      <w:r w:rsidR="00C03678" w:rsidRPr="00CE7660">
        <w:t xml:space="preserve">, dass </w:t>
      </w:r>
      <w:r w:rsidR="00542C14" w:rsidRPr="00CE7660">
        <w:t>die Erh</w:t>
      </w:r>
      <w:r w:rsidR="00542C14" w:rsidRPr="00CE7660">
        <w:t>e</w:t>
      </w:r>
      <w:r w:rsidR="00542C14" w:rsidRPr="00CE7660">
        <w:t>bung, Verarbeitung und Nutzung personenbezogener Daten aus dem Mes</w:t>
      </w:r>
      <w:r w:rsidR="00542C14" w:rsidRPr="00CE7660">
        <w:t>s</w:t>
      </w:r>
      <w:r w:rsidR="00542C14" w:rsidRPr="00CE7660">
        <w:t>system grundsätzlich verboten</w:t>
      </w:r>
      <w:r w:rsidR="005757C0">
        <w:t xml:space="preserve"> sei</w:t>
      </w:r>
      <w:r w:rsidR="00542C14" w:rsidRPr="00CE7660">
        <w:t>, sofern für die Datenverwendung keine Legitimatio</w:t>
      </w:r>
      <w:r w:rsidR="005757C0">
        <w:t>nsgrundlage vorliege</w:t>
      </w:r>
      <w:r w:rsidR="00542C14" w:rsidRPr="00CE7660">
        <w:t>.</w:t>
      </w:r>
      <w:r w:rsidR="00542C14" w:rsidRPr="00CE7660">
        <w:rPr>
          <w:rStyle w:val="Funotenzeichen"/>
        </w:rPr>
        <w:footnoteReference w:id="14"/>
      </w:r>
      <w:r w:rsidR="001B75EE" w:rsidRPr="00CE7660">
        <w:t xml:space="preserve"> </w:t>
      </w:r>
      <w:r w:rsidR="005757C0">
        <w:t>Aus diesem Grund wu</w:t>
      </w:r>
      <w:r w:rsidR="009442B5">
        <w:t>rden in § 21</w:t>
      </w:r>
      <w:r w:rsidR="00C03678" w:rsidRPr="00CE7660">
        <w:t>g Abs. 1 EnWG zur Ausgestaltung des Prinzips der Zweckbindu</w:t>
      </w:r>
      <w:r w:rsidR="00092718">
        <w:t xml:space="preserve">ng abschließend legitimierende </w:t>
      </w:r>
      <w:r w:rsidR="00C03678" w:rsidRPr="00CE7660">
        <w:t>Zwecke enumerativ aufgezählt, welche sich jedoch in ihrem Detaill</w:t>
      </w:r>
      <w:r w:rsidR="005757C0">
        <w:t>ierungsgrad erheblich unterschie</w:t>
      </w:r>
      <w:r w:rsidR="00C03678" w:rsidRPr="00CE7660">
        <w:t>den. Zur Konkretisierung des</w:t>
      </w:r>
      <w:r w:rsidR="001B75EE" w:rsidRPr="00CE7660">
        <w:t xml:space="preserve"> pers</w:t>
      </w:r>
      <w:r w:rsidR="001B75EE" w:rsidRPr="00CE7660">
        <w:t>o</w:t>
      </w:r>
      <w:r w:rsidR="001B75EE" w:rsidRPr="00CE7660">
        <w:t>nelle</w:t>
      </w:r>
      <w:r w:rsidR="00C03678" w:rsidRPr="00CE7660">
        <w:t>n</w:t>
      </w:r>
      <w:r w:rsidR="001B75EE" w:rsidRPr="00CE7660">
        <w:t xml:space="preserve"> Anwendungsbereich</w:t>
      </w:r>
      <w:r w:rsidR="005757C0">
        <w:t xml:space="preserve"> wu</w:t>
      </w:r>
      <w:r w:rsidR="00C03678" w:rsidRPr="00CE7660">
        <w:t>rden</w:t>
      </w:r>
      <w:r w:rsidR="009D6766" w:rsidRPr="00CE7660">
        <w:t xml:space="preserve"> in § 21g Abs. 2 EnWG </w:t>
      </w:r>
      <w:r w:rsidR="009D6766" w:rsidRPr="00CE7660">
        <w:rPr>
          <w:i/>
        </w:rPr>
        <w:t>„zum Datenu</w:t>
      </w:r>
      <w:r w:rsidR="009D6766" w:rsidRPr="00CE7660">
        <w:rPr>
          <w:i/>
        </w:rPr>
        <w:t>m</w:t>
      </w:r>
      <w:r w:rsidR="009D6766" w:rsidRPr="00CE7660">
        <w:rPr>
          <w:i/>
        </w:rPr>
        <w:t>gang berechtigte Stellen“</w:t>
      </w:r>
      <w:r w:rsidR="00092718">
        <w:t xml:space="preserve"> </w:t>
      </w:r>
      <w:r w:rsidR="005757C0">
        <w:t>legal definiert. Dies waren</w:t>
      </w:r>
      <w:r w:rsidR="009D6766" w:rsidRPr="00CE7660">
        <w:t xml:space="preserve"> neben dem MSB der Netzbetreiber (NB), der Lieferant (LF) sowie eine dritte Stelle, die eine schriftliche Einwilligung nach den Voraussetzung</w:t>
      </w:r>
      <w:r w:rsidR="005757C0">
        <w:t>en des § 4a BDSG nac</w:t>
      </w:r>
      <w:r w:rsidR="005757C0">
        <w:t>h</w:t>
      </w:r>
      <w:r w:rsidR="005757C0">
        <w:t>weisen konnte</w:t>
      </w:r>
      <w:r w:rsidR="009D6766" w:rsidRPr="00CE7660">
        <w:t xml:space="preserve">. </w:t>
      </w:r>
    </w:p>
    <w:p w:rsidR="009D6766" w:rsidRPr="00CE7660" w:rsidRDefault="005757C0" w:rsidP="00B10FE7">
      <w:r>
        <w:t>Flankiert wu</w:t>
      </w:r>
      <w:r w:rsidR="009D6766" w:rsidRPr="00CE7660">
        <w:t xml:space="preserve">rden die Vorschriften durch Regelungen über die rechtswidrige Inanspruchnahme von </w:t>
      </w:r>
      <w:r w:rsidR="009442B5">
        <w:t>Messsystemen und Diensten (§ 21</w:t>
      </w:r>
      <w:r w:rsidR="009D6766" w:rsidRPr="00CE7660">
        <w:t xml:space="preserve">g Abs. 3 EnWG) und zur </w:t>
      </w:r>
      <w:r w:rsidR="009442B5">
        <w:t>Auftragsdatenverarbeitung (§ 21</w:t>
      </w:r>
      <w:r w:rsidR="009D6766" w:rsidRPr="00CE7660">
        <w:t>g Abs. 4 EnWG).</w:t>
      </w:r>
      <w:r w:rsidR="00AA4956">
        <w:rPr>
          <w:rStyle w:val="Funotenzeichen"/>
        </w:rPr>
        <w:footnoteReference w:id="15"/>
      </w:r>
      <w:r w:rsidR="009D6766" w:rsidRPr="00CE7660">
        <w:t xml:space="preserve"> </w:t>
      </w:r>
      <w:r>
        <w:t>Des Weiteren wu</w:t>
      </w:r>
      <w:r w:rsidR="00AA4956">
        <w:t xml:space="preserve">rden in Abs. 6 </w:t>
      </w:r>
      <w:r w:rsidR="00C879E7">
        <w:t>einzuhaltende nicht abschließende Grundsätze wie Ve</w:t>
      </w:r>
      <w:r w:rsidR="00C879E7">
        <w:t>r</w:t>
      </w:r>
      <w:r w:rsidR="00C879E7">
        <w:t>hältnismäßigkeit, Erforderlichkeit und</w:t>
      </w:r>
      <w:r w:rsidR="00092718">
        <w:t xml:space="preserve"> Zweckbindung und insbesondere </w:t>
      </w:r>
      <w:r w:rsidR="00C879E7">
        <w:t>ein Koppelungsverbot aufgestellt, welchen die Rechtsverordnung gerecht we</w:t>
      </w:r>
      <w:r w:rsidR="00C879E7">
        <w:t>r</w:t>
      </w:r>
      <w:r w:rsidR="00C879E7">
        <w:t>den muss</w:t>
      </w:r>
      <w:r>
        <w:t>te</w:t>
      </w:r>
      <w:r w:rsidR="00C879E7">
        <w:t>.</w:t>
      </w:r>
      <w:r w:rsidR="00C879E7">
        <w:rPr>
          <w:rStyle w:val="Funotenzeichen"/>
        </w:rPr>
        <w:footnoteReference w:id="16"/>
      </w:r>
      <w:r w:rsidR="00C879E7">
        <w:t xml:space="preserve"> </w:t>
      </w:r>
    </w:p>
    <w:p w:rsidR="00AE6413" w:rsidRPr="00AE6413" w:rsidRDefault="00542C14" w:rsidP="006E7507">
      <w:r w:rsidRPr="00CE7660">
        <w:lastRenderedPageBreak/>
        <w:t xml:space="preserve">§ 21h EnWG </w:t>
      </w:r>
      <w:r w:rsidR="004D1873" w:rsidRPr="00CE7660">
        <w:t>normiert</w:t>
      </w:r>
      <w:r w:rsidR="005757C0">
        <w:t>e</w:t>
      </w:r>
      <w:r w:rsidR="004D1873" w:rsidRPr="00CE7660">
        <w:t xml:space="preserve"> in Abs. 1</w:t>
      </w:r>
      <w:r w:rsidR="00EE6F49">
        <w:t xml:space="preserve"> </w:t>
      </w:r>
      <w:r w:rsidR="002832E3">
        <w:t>schließlich</w:t>
      </w:r>
      <w:r w:rsidR="00092718">
        <w:t xml:space="preserve"> - </w:t>
      </w:r>
      <w:r w:rsidR="004D1873">
        <w:t>trotz der Beschränkung der amtlichen Überschrift</w:t>
      </w:r>
      <w:r w:rsidR="00092718">
        <w:t xml:space="preserve"> auf „Informationspflichten“ - </w:t>
      </w:r>
      <w:r w:rsidR="004D1873">
        <w:t>in der datenschutzrech</w:t>
      </w:r>
      <w:r w:rsidR="004D1873">
        <w:t>t</w:t>
      </w:r>
      <w:r w:rsidR="004D1873">
        <w:t>lichen Terminologie Auskunftsrechte des Betroffenen gegenüber dem Mes</w:t>
      </w:r>
      <w:r w:rsidR="004D1873">
        <w:t>s</w:t>
      </w:r>
      <w:r w:rsidR="004D1873">
        <w:t>stellenbetreiber (MSB).</w:t>
      </w:r>
      <w:r w:rsidR="00CE7660">
        <w:rPr>
          <w:rStyle w:val="Funotenzeichen"/>
        </w:rPr>
        <w:footnoteReference w:id="17"/>
      </w:r>
      <w:r w:rsidR="004D1873">
        <w:t xml:space="preserve"> Diese gehören zu den unabdingbaren Rechten von Betroffenen, da sie die Betroffenen erst in die Lage versetzen, weitere Rec</w:t>
      </w:r>
      <w:r w:rsidR="004D1873">
        <w:t>h</w:t>
      </w:r>
      <w:r w:rsidR="004D1873">
        <w:t>te geltend zu machen.</w:t>
      </w:r>
      <w:r w:rsidR="004D1873" w:rsidRPr="00C03678">
        <w:rPr>
          <w:sz w:val="22"/>
          <w:vertAlign w:val="superscript"/>
        </w:rPr>
        <w:footnoteReference w:id="18"/>
      </w:r>
      <w:r w:rsidR="004D1873">
        <w:t xml:space="preserve"> </w:t>
      </w:r>
      <w:r w:rsidR="00C03678">
        <w:t xml:space="preserve">Die </w:t>
      </w:r>
      <w:r w:rsidR="004C79A5">
        <w:t xml:space="preserve">tatsächliche Informationspflicht </w:t>
      </w:r>
      <w:r w:rsidR="00C03678">
        <w:t xml:space="preserve">in Abs. 2 </w:t>
      </w:r>
      <w:r w:rsidR="007B5951">
        <w:t>zielte</w:t>
      </w:r>
      <w:r w:rsidR="00C03678">
        <w:t xml:space="preserve"> hingegen auf eine Rechtspflicht der zum Datenumgang berechtigten Stelle, ohne dass es einer I</w:t>
      </w:r>
      <w:r w:rsidR="007B5951">
        <w:t>nitiative des Betroffenen bedurfte</w:t>
      </w:r>
      <w:r w:rsidR="00C03678">
        <w:t>.</w:t>
      </w:r>
      <w:r w:rsidR="00161719">
        <w:rPr>
          <w:rStyle w:val="Funotenzeichen"/>
        </w:rPr>
        <w:footnoteReference w:id="19"/>
      </w:r>
      <w:r w:rsidR="00C03678">
        <w:t xml:space="preserve"> Wie auch im Ra</w:t>
      </w:r>
      <w:r w:rsidR="00C03678">
        <w:t>h</w:t>
      </w:r>
      <w:r w:rsidR="00C03678">
        <w:t>men des § 42a BDSG räumt</w:t>
      </w:r>
      <w:r w:rsidR="007B5951">
        <w:t>e</w:t>
      </w:r>
      <w:r w:rsidR="00C03678">
        <w:t xml:space="preserve"> der Gesetzgeber mit dieser Pflicht zur Publiz</w:t>
      </w:r>
      <w:r w:rsidR="00C03678">
        <w:t>i</w:t>
      </w:r>
      <w:r w:rsidR="00C03678">
        <w:t>tät dem „informationellen Selbstbestimmungsrecht des Betroffenen Vorrang vor d</w:t>
      </w:r>
      <w:r w:rsidR="00CE7660">
        <w:t>en Geheimhaltungsinteressen des Datenverarbeite</w:t>
      </w:r>
      <w:r w:rsidR="004B0293">
        <w:t>r</w:t>
      </w:r>
      <w:r w:rsidR="00CE7660">
        <w:t>s</w:t>
      </w:r>
      <w:r w:rsidR="00C03678">
        <w:t xml:space="preserve"> ein“.</w:t>
      </w:r>
      <w:r w:rsidR="00C03678" w:rsidRPr="00C03678">
        <w:rPr>
          <w:sz w:val="22"/>
          <w:vertAlign w:val="superscript"/>
        </w:rPr>
        <w:t xml:space="preserve"> </w:t>
      </w:r>
      <w:r w:rsidR="00C03678" w:rsidRPr="00C03678">
        <w:rPr>
          <w:sz w:val="22"/>
          <w:vertAlign w:val="superscript"/>
        </w:rPr>
        <w:footnoteReference w:id="20"/>
      </w:r>
    </w:p>
    <w:p w:rsidR="00542C14" w:rsidRDefault="00542C14" w:rsidP="00F30386">
      <w:pPr>
        <w:pStyle w:val="berschrift5"/>
        <w:ind w:hanging="567"/>
      </w:pPr>
      <w:bookmarkStart w:id="28" w:name="_Toc490827353"/>
      <w:r>
        <w:t>Zweite Säule</w:t>
      </w:r>
      <w:r w:rsidR="001B75EE">
        <w:t xml:space="preserve"> - Ermächtigung für konkretisierende datenschutzrechtliche Rechtsverordnungen</w:t>
      </w:r>
      <w:bookmarkEnd w:id="28"/>
    </w:p>
    <w:p w:rsidR="00542C14" w:rsidRPr="00F62240" w:rsidRDefault="00874FF5" w:rsidP="006E7507">
      <w:r w:rsidRPr="00F62240">
        <w:t>Daneben wurde in § 21i EnWG die Ermächtigung für Rechtsver</w:t>
      </w:r>
      <w:r w:rsidR="00C61DF0">
        <w:t>ordnungen geschaffen, welche</w:t>
      </w:r>
      <w:r w:rsidRPr="00F62240">
        <w:t xml:space="preserve"> verbindliche Vorgaben zu Mindestanforderungen date</w:t>
      </w:r>
      <w:r w:rsidRPr="00F62240">
        <w:t>n</w:t>
      </w:r>
      <w:r w:rsidRPr="00F62240">
        <w:t>schutzrecht</w:t>
      </w:r>
      <w:r w:rsidR="00C61DF0">
        <w:t>licher Prinzipien enthalten soll</w:t>
      </w:r>
      <w:r w:rsidR="007B5951">
        <w:t>t</w:t>
      </w:r>
      <w:r w:rsidR="004779DA">
        <w:t>en.</w:t>
      </w:r>
      <w:r w:rsidRPr="00F62240">
        <w:rPr>
          <w:vertAlign w:val="superscript"/>
        </w:rPr>
        <w:footnoteReference w:id="21"/>
      </w:r>
      <w:r w:rsidRPr="00F62240">
        <w:t xml:space="preserve"> </w:t>
      </w:r>
      <w:r w:rsidR="00600F24">
        <w:t>I</w:t>
      </w:r>
      <w:r w:rsidR="00C61DF0">
        <w:t xml:space="preserve">n einem </w:t>
      </w:r>
      <w:r w:rsidR="00C61DF0" w:rsidRPr="00600F24">
        <w:t>umfangreichen Katalog</w:t>
      </w:r>
      <w:r w:rsidR="005307B6">
        <w:t>,</w:t>
      </w:r>
      <w:r w:rsidR="00C61DF0" w:rsidRPr="00600F24">
        <w:t xml:space="preserve"> </w:t>
      </w:r>
      <w:r w:rsidR="004779DA">
        <w:t>adressiert an die</w:t>
      </w:r>
      <w:r w:rsidR="00600F24" w:rsidRPr="00600F24">
        <w:t xml:space="preserve"> Bundesregierung</w:t>
      </w:r>
      <w:r w:rsidR="005307B6">
        <w:t>,</w:t>
      </w:r>
      <w:r w:rsidR="00600F24" w:rsidRPr="00600F24">
        <w:t xml:space="preserve"> </w:t>
      </w:r>
      <w:r w:rsidR="007B5951">
        <w:t>wu</w:t>
      </w:r>
      <w:r w:rsidR="004779DA">
        <w:t xml:space="preserve">rden </w:t>
      </w:r>
      <w:r w:rsidR="00C61DF0" w:rsidRPr="00600F24">
        <w:t xml:space="preserve">„verbindliche Vorgaben zu Mindestanforderungen datenschutzrechtlicher Prinzipien“ </w:t>
      </w:r>
      <w:r w:rsidR="00600F24" w:rsidRPr="00600F24">
        <w:t>gemacht</w:t>
      </w:r>
      <w:r w:rsidR="00C61DF0" w:rsidRPr="00600F24">
        <w:t>.</w:t>
      </w:r>
      <w:r w:rsidR="00C61DF0" w:rsidRPr="00600F24">
        <w:rPr>
          <w:rStyle w:val="Funotenzeichen"/>
        </w:rPr>
        <w:footnoteReference w:id="22"/>
      </w:r>
      <w:r w:rsidR="00B00F7E">
        <w:t xml:space="preserve"> Ein</w:t>
      </w:r>
      <w:r w:rsidR="007B5951">
        <w:t>e weitere Konkretisierung fand</w:t>
      </w:r>
      <w:r w:rsidR="00B00F7E">
        <w:t xml:space="preserve"> sich </w:t>
      </w:r>
      <w:r w:rsidR="004779DA">
        <w:t xml:space="preserve">in </w:t>
      </w:r>
      <w:r w:rsidR="009442B5">
        <w:t>§ 21</w:t>
      </w:r>
      <w:r w:rsidR="007B5951">
        <w:t>g Abs. 6 S. 1 EnWG. Darin waren</w:t>
      </w:r>
      <w:r w:rsidR="00B00F7E" w:rsidRPr="00B00F7E">
        <w:t xml:space="preserve"> Vorschriften zum Schutz personenbezogener Daten der an der Ene</w:t>
      </w:r>
      <w:r w:rsidR="00B00F7E" w:rsidRPr="00B00F7E">
        <w:t>r</w:t>
      </w:r>
      <w:r w:rsidR="00B00F7E" w:rsidRPr="00B00F7E">
        <w:t>gieverso</w:t>
      </w:r>
      <w:r w:rsidR="004779DA">
        <w:t>rgung Beteiligten enthalten</w:t>
      </w:r>
      <w:r w:rsidR="00B00F7E" w:rsidRPr="00B00F7E">
        <w:t>, welche die Erhebung, Verarbeitung und Nutzung dieser Daten regel</w:t>
      </w:r>
      <w:r w:rsidR="007B5951">
        <w:t>te</w:t>
      </w:r>
      <w:r w:rsidR="00B00F7E" w:rsidRPr="00B00F7E">
        <w:t>n (§ 21g</w:t>
      </w:r>
      <w:r w:rsidR="007B5951">
        <w:t xml:space="preserve"> Abs. 6 S. 2 EnWG). Ferner hatten</w:t>
      </w:r>
      <w:r w:rsidR="00B00F7E" w:rsidRPr="00B00F7E">
        <w:t xml:space="preserve"> die zu erlassenden Vorschriften den Grundsätzen der Verhältnismäßigkeit, in</w:t>
      </w:r>
      <w:r w:rsidR="00B00F7E" w:rsidRPr="00B00F7E">
        <w:t>s</w:t>
      </w:r>
      <w:r w:rsidR="00B00F7E" w:rsidRPr="00B00F7E">
        <w:lastRenderedPageBreak/>
        <w:t>besondere der Beschränkung der Erhebung, Verarbeitung und Nutzung auf das Erforderliche, sowie dem Grundsatz der Zweckbindung Rechnung zu tragen (§ 21g Abs. 6 S. 3 EnWG).</w:t>
      </w:r>
      <w:r w:rsidR="00B00F7E" w:rsidRPr="00B00F7E">
        <w:rPr>
          <w:rStyle w:val="Funotenzeichen"/>
        </w:rPr>
        <w:footnoteReference w:id="23"/>
      </w:r>
      <w:r w:rsidR="00353C66">
        <w:t xml:space="preserve"> </w:t>
      </w:r>
      <w:r w:rsidR="00353C66">
        <w:rPr>
          <w:rStyle w:val="Funotenzeichen"/>
        </w:rPr>
        <w:footnoteReference w:id="24"/>
      </w:r>
    </w:p>
    <w:p w:rsidR="00542C14" w:rsidRDefault="00542C14" w:rsidP="00F30386">
      <w:pPr>
        <w:pStyle w:val="berschrift5"/>
        <w:ind w:left="907" w:hanging="567"/>
      </w:pPr>
      <w:bookmarkStart w:id="29" w:name="_Toc490827354"/>
      <w:r>
        <w:t>Dritte Säule</w:t>
      </w:r>
      <w:r w:rsidR="001B75EE">
        <w:t xml:space="preserve"> – Datenhoheit und Technischer Datenschutz</w:t>
      </w:r>
      <w:bookmarkEnd w:id="29"/>
    </w:p>
    <w:p w:rsidR="00874FF5" w:rsidRDefault="00874FF5" w:rsidP="006E7507">
      <w:r>
        <w:t>Schließlich wu</w:t>
      </w:r>
      <w:r w:rsidRPr="00F62240">
        <w:t xml:space="preserve">rden in § 21e EnWG verbindliche, am </w:t>
      </w:r>
      <w:r w:rsidR="005307B6">
        <w:t>„</w:t>
      </w:r>
      <w:r w:rsidRPr="009908F1">
        <w:rPr>
          <w:i/>
        </w:rPr>
        <w:t>Stand der Technik</w:t>
      </w:r>
      <w:r w:rsidR="005307B6">
        <w:t>“</w:t>
      </w:r>
      <w:r w:rsidRPr="00F62240">
        <w:t xml:space="preserve"> orientierte Schutzmaßnahmen für das eigentliche Messsystem eingeführt, die in Schutzprofilen und Technischen Richtlinien konkretisiert werden soll</w:t>
      </w:r>
      <w:r w:rsidR="007B5951">
        <w:t>t</w:t>
      </w:r>
      <w:r w:rsidRPr="00F62240">
        <w:t>en.</w:t>
      </w:r>
      <w:r w:rsidRPr="00F62240">
        <w:rPr>
          <w:vertAlign w:val="superscript"/>
        </w:rPr>
        <w:footnoteReference w:id="25"/>
      </w:r>
      <w:r w:rsidR="00542C14">
        <w:t xml:space="preserve"> </w:t>
      </w:r>
      <w:r w:rsidR="004A221B">
        <w:t>Damit wu</w:t>
      </w:r>
      <w:r w:rsidR="00542C14" w:rsidRPr="00962B00">
        <w:t>rd</w:t>
      </w:r>
      <w:r w:rsidR="004A221B">
        <w:t>e</w:t>
      </w:r>
      <w:r w:rsidR="00542C14" w:rsidRPr="00962B00">
        <w:t xml:space="preserve"> das Prinzip der Datensparsamkeit durch Einführung von Maßnahmen des Systemdatenschutzes verwirklicht, indem in Schut</w:t>
      </w:r>
      <w:r w:rsidR="00542C14" w:rsidRPr="00962B00">
        <w:t>z</w:t>
      </w:r>
      <w:r w:rsidR="00542C14" w:rsidRPr="00962B00">
        <w:t>profilen und Technischen Richtlinien verbindliche am Stand der Tech</w:t>
      </w:r>
      <w:r w:rsidR="00542C14">
        <w:t>nik orientierte Schutzmaßnahmen</w:t>
      </w:r>
      <w:r w:rsidR="00542C14" w:rsidRPr="00962B00">
        <w:t xml:space="preserve"> für das Messsystem vorge</w:t>
      </w:r>
      <w:r w:rsidR="004A221B">
        <w:t>schrieben wu</w:t>
      </w:r>
      <w:r w:rsidR="00542C14" w:rsidRPr="00962B00">
        <w:t>rden.</w:t>
      </w:r>
    </w:p>
    <w:p w:rsidR="00B11A23" w:rsidRDefault="00B11A23" w:rsidP="006E7507">
      <w:r w:rsidRPr="00B11A23">
        <w:t>Da der Anschlussnutzer durch die gesetzliche in §§ 21c Abs. 4 EnWG ve</w:t>
      </w:r>
      <w:r w:rsidRPr="00B11A23">
        <w:t>r</w:t>
      </w:r>
      <w:r w:rsidRPr="00B11A23">
        <w:t>ankerte Einbaupflicht</w:t>
      </w:r>
      <w:r w:rsidR="00092718">
        <w:t xml:space="preserve"> die</w:t>
      </w:r>
      <w:r w:rsidRPr="00B11A23">
        <w:t xml:space="preserve"> </w:t>
      </w:r>
      <w:r w:rsidR="004779DA" w:rsidRPr="00B11A23">
        <w:t>Installation</w:t>
      </w:r>
      <w:r w:rsidRPr="00B11A23">
        <w:t xml:space="preserve"> eines M</w:t>
      </w:r>
      <w:r w:rsidR="007B5951">
        <w:t>esssystems nicht verhindern konnte</w:t>
      </w:r>
      <w:r w:rsidRPr="00B11A23">
        <w:t xml:space="preserve">, </w:t>
      </w:r>
      <w:r>
        <w:t>soll</w:t>
      </w:r>
      <w:r w:rsidR="007B5951">
        <w:t>te</w:t>
      </w:r>
      <w:r>
        <w:t xml:space="preserve"> dieser </w:t>
      </w:r>
      <w:r w:rsidRPr="00B11A23">
        <w:t>bereits ab Einbau eines Messsystems unter das beso</w:t>
      </w:r>
      <w:r w:rsidRPr="00B11A23">
        <w:t>n</w:t>
      </w:r>
      <w:r w:rsidRPr="00B11A23">
        <w:t>dere Schutzprogramm des EnWG zu stellen</w:t>
      </w:r>
      <w:r w:rsidR="002832E3">
        <w:t xml:space="preserve"> </w:t>
      </w:r>
      <w:r w:rsidR="004779DA">
        <w:t>sein</w:t>
      </w:r>
      <w:r>
        <w:t>.</w:t>
      </w:r>
      <w:r w:rsidRPr="00B11A23">
        <w:rPr>
          <w:highlight w:val="yellow"/>
        </w:rPr>
        <w:t xml:space="preserve"> </w:t>
      </w:r>
    </w:p>
    <w:p w:rsidR="00542C14" w:rsidRPr="00F62240" w:rsidRDefault="007B5951" w:rsidP="00B10FE7">
      <w:r>
        <w:lastRenderedPageBreak/>
        <w:t>Dies konnte</w:t>
      </w:r>
      <w:r w:rsidR="00B11A23" w:rsidRPr="00DC746A">
        <w:t xml:space="preserve"> </w:t>
      </w:r>
      <w:r w:rsidR="00542C14" w:rsidRPr="00DC746A">
        <w:t>für das Messsystem als zentrale</w:t>
      </w:r>
      <w:r w:rsidR="005307B6">
        <w:t>m</w:t>
      </w:r>
      <w:r w:rsidR="00542C14" w:rsidRPr="00DC746A">
        <w:t xml:space="preserve"> Bestandteil der IKT-Infrastruktur</w:t>
      </w:r>
      <w:r w:rsidR="00B11A23" w:rsidRPr="00DC746A">
        <w:t xml:space="preserve"> nur durch die </w:t>
      </w:r>
      <w:r w:rsidR="00542C14" w:rsidRPr="00DC746A">
        <w:t xml:space="preserve">in § 21e EnWG </w:t>
      </w:r>
      <w:r w:rsidR="00B11A23" w:rsidRPr="00DC746A">
        <w:t xml:space="preserve">normierten </w:t>
      </w:r>
      <w:r w:rsidR="00542C14" w:rsidRPr="00DC746A">
        <w:t>technische Anford</w:t>
      </w:r>
      <w:r w:rsidR="00542C14" w:rsidRPr="00DC746A">
        <w:t>e</w:t>
      </w:r>
      <w:r w:rsidR="00542C14" w:rsidRPr="00DC746A">
        <w:t>rungen in Form von Schutzprofilen</w:t>
      </w:r>
      <w:r w:rsidR="004779DA" w:rsidRPr="00DC746A">
        <w:t xml:space="preserve"> </w:t>
      </w:r>
      <w:r w:rsidR="00B11A23" w:rsidRPr="00DC746A">
        <w:t>verwirklicht werden</w:t>
      </w:r>
      <w:r w:rsidR="00542C14" w:rsidRPr="00DC746A">
        <w:t xml:space="preserve">, </w:t>
      </w:r>
      <w:r w:rsidR="006C6ED0" w:rsidRPr="00DC746A">
        <w:t xml:space="preserve">welche </w:t>
      </w:r>
      <w:r w:rsidR="00542C14" w:rsidRPr="00DC746A">
        <w:t>dem jewe</w:t>
      </w:r>
      <w:r w:rsidR="00542C14" w:rsidRPr="00DC746A">
        <w:t>i</w:t>
      </w:r>
      <w:r w:rsidR="00542C14" w:rsidRPr="00DC746A">
        <w:t xml:space="preserve">ligen </w:t>
      </w:r>
      <w:r w:rsidR="005307B6">
        <w:t>„</w:t>
      </w:r>
      <w:r w:rsidR="00542C14" w:rsidRPr="005C6E83">
        <w:rPr>
          <w:i/>
        </w:rPr>
        <w:t>Stand der Technik</w:t>
      </w:r>
      <w:r w:rsidR="005307B6">
        <w:t>“</w:t>
      </w:r>
      <w:r w:rsidR="00542C14" w:rsidRPr="00DC746A">
        <w:t xml:space="preserve"> entsprechende Schutzmaßnahmen zur Sicherste</w:t>
      </w:r>
      <w:r w:rsidR="00542C14" w:rsidRPr="00DC746A">
        <w:t>l</w:t>
      </w:r>
      <w:r w:rsidR="00542C14" w:rsidRPr="00DC746A">
        <w:t>lung von Datenschutz</w:t>
      </w:r>
      <w:r>
        <w:t xml:space="preserve"> und Datensicherheit vorsehen mu</w:t>
      </w:r>
      <w:r w:rsidR="00542C14" w:rsidRPr="00DC746A">
        <w:t>ss</w:t>
      </w:r>
      <w:r>
        <w:t>t</w:t>
      </w:r>
      <w:r w:rsidR="00542C14" w:rsidRPr="00DC746A">
        <w:t>en. Mit § 21e EnWG wurde eine bereichsspezifische Regelung geschaffen, die dazu ve</w:t>
      </w:r>
      <w:r w:rsidR="00542C14" w:rsidRPr="00DC746A">
        <w:t>r</w:t>
      </w:r>
      <w:r w:rsidR="00542C14" w:rsidRPr="00DC746A">
        <w:t>pflichtet</w:t>
      </w:r>
      <w:r w:rsidR="00092718">
        <w:t>,</w:t>
      </w:r>
      <w:r w:rsidR="00542C14" w:rsidRPr="00DC746A">
        <w:t xml:space="preserve"> „datenschutzfördernde Technik“ einzusetzen.</w:t>
      </w:r>
      <w:r w:rsidR="00542C14" w:rsidRPr="00DC746A">
        <w:rPr>
          <w:vertAlign w:val="superscript"/>
        </w:rPr>
        <w:footnoteReference w:id="26"/>
      </w:r>
      <w:r w:rsidR="009442B5">
        <w:t xml:space="preserve"> In § 21</w:t>
      </w:r>
      <w:r w:rsidR="00542C14" w:rsidRPr="00DC746A">
        <w:t>e Abs. 1 EnWG</w:t>
      </w:r>
      <w:r w:rsidR="000419E3">
        <w:t xml:space="preserve"> a.F.</w:t>
      </w:r>
      <w:r w:rsidR="00542C14" w:rsidRPr="00DC746A">
        <w:t xml:space="preserve"> w</w:t>
      </w:r>
      <w:r>
        <w:t>urde</w:t>
      </w:r>
      <w:r w:rsidR="00542C14" w:rsidRPr="00DC746A">
        <w:t xml:space="preserve"> neben der Einhaltung eichrechtlicher Vorschriften die Gewährleistung von Datenschutz, Datensicherheit und Interoperabilität in Messsystemen zwingend vorgeben. Det</w:t>
      </w:r>
      <w:r>
        <w:t>aillierte Regelungen dazu fanden</w:t>
      </w:r>
      <w:r w:rsidR="00542C14" w:rsidRPr="00DC746A">
        <w:t xml:space="preserve"> sich in den </w:t>
      </w:r>
      <w:r>
        <w:t>Absätzen 2 bis 4. Demnach mussten</w:t>
      </w:r>
      <w:r w:rsidR="00542C14" w:rsidRPr="00DC746A">
        <w:t xml:space="preserve"> Messsysteme den Anford</w:t>
      </w:r>
      <w:r w:rsidR="00542C14" w:rsidRPr="00DC746A">
        <w:t>e</w:t>
      </w:r>
      <w:r w:rsidR="00542C14" w:rsidRPr="00DC746A">
        <w:t>rungen aus Schutzprofilen entsprechen und Interoperabilität gewährleisten (Abs. 2), dem Stand der Technik entsprechende Maßnahmen zur Sicherste</w:t>
      </w:r>
      <w:r w:rsidR="00542C14" w:rsidRPr="00DC746A">
        <w:t>l</w:t>
      </w:r>
      <w:r w:rsidR="00542C14" w:rsidRPr="00DC746A">
        <w:t>lung von Datenschutz und Datensicherheit treffen (Abs. 3) sowie festgelegte Zertifizierungsverfahren einhalten (Abs. 4). F</w:t>
      </w:r>
      <w:r>
        <w:t>ür die praktische Umsetzung waren</w:t>
      </w:r>
      <w:r w:rsidR="00542C14" w:rsidRPr="00DC746A">
        <w:t xml:space="preserve"> die Anforderungen der Schutzprofile</w:t>
      </w:r>
      <w:bookmarkStart w:id="30" w:name="_Ref435035415"/>
      <w:r w:rsidR="00542C14" w:rsidRPr="00DC746A">
        <w:rPr>
          <w:vertAlign w:val="superscript"/>
        </w:rPr>
        <w:footnoteReference w:id="27"/>
      </w:r>
      <w:bookmarkEnd w:id="30"/>
      <w:r w:rsidR="00542C14" w:rsidRPr="00DC746A">
        <w:t xml:space="preserve"> und der Technischen Richtl</w:t>
      </w:r>
      <w:r w:rsidR="00542C14" w:rsidRPr="00DC746A">
        <w:t>i</w:t>
      </w:r>
      <w:r w:rsidR="00542C14" w:rsidRPr="00DC746A">
        <w:t>nie</w:t>
      </w:r>
      <w:bookmarkStart w:id="31" w:name="_Ref434226891"/>
      <w:r w:rsidR="00542C14" w:rsidRPr="00DC746A">
        <w:rPr>
          <w:vertAlign w:val="superscript"/>
        </w:rPr>
        <w:footnoteReference w:id="28"/>
      </w:r>
      <w:bookmarkEnd w:id="31"/>
      <w:r w:rsidR="00542C14" w:rsidRPr="00DC746A">
        <w:t xml:space="preserve"> des BSI zu berücksichtigen, die ihrerseits rechtlich verbindlich umg</w:t>
      </w:r>
      <w:r w:rsidR="00542C14" w:rsidRPr="00DC746A">
        <w:t>e</w:t>
      </w:r>
      <w:r w:rsidR="00542C14" w:rsidRPr="00DC746A">
        <w:t>setzt werden sollen.</w:t>
      </w:r>
      <w:r w:rsidR="00542C14" w:rsidRPr="00DC746A">
        <w:rPr>
          <w:rStyle w:val="Funotenzeichen"/>
        </w:rPr>
        <w:footnoteReference w:id="29"/>
      </w:r>
    </w:p>
    <w:p w:rsidR="00542C14" w:rsidRDefault="00542C14" w:rsidP="00F30386">
      <w:pPr>
        <w:pStyle w:val="berschrift5"/>
        <w:ind w:hanging="567"/>
      </w:pPr>
      <w:bookmarkStart w:id="32" w:name="_Toc490827355"/>
      <w:r>
        <w:t>Vierte Säule</w:t>
      </w:r>
      <w:r w:rsidR="00EE6F49">
        <w:t xml:space="preserve"> </w:t>
      </w:r>
      <w:r w:rsidR="004346BF">
        <w:t>–</w:t>
      </w:r>
      <w:r w:rsidR="00EE6F49">
        <w:t xml:space="preserve"> </w:t>
      </w:r>
      <w:r w:rsidR="004346BF">
        <w:t>Einbaupflicht für Smart Meter</w:t>
      </w:r>
      <w:bookmarkEnd w:id="32"/>
    </w:p>
    <w:p w:rsidR="00CC26D4" w:rsidRPr="00CC26D4" w:rsidRDefault="001D6CE3" w:rsidP="006E7507">
      <w:r w:rsidRPr="00BB55ED">
        <w:t xml:space="preserve">Mit </w:t>
      </w:r>
      <w:r>
        <w:t>Einführung</w:t>
      </w:r>
      <w:r w:rsidRPr="00BB55ED">
        <w:t xml:space="preserve"> des § 21c Abs. 1 EnWG hat</w:t>
      </w:r>
      <w:r>
        <w:t>te</w:t>
      </w:r>
      <w:r w:rsidRPr="00BB55ED">
        <w:t xml:space="preserve"> der Gesetzgeber </w:t>
      </w:r>
      <w:r>
        <w:t xml:space="preserve">erstmals </w:t>
      </w:r>
      <w:r w:rsidRPr="00BB55ED">
        <w:t>für den Letztverbraucher die Pflicht zur Nutzung von Smart Metern verankert. Dies begründet</w:t>
      </w:r>
      <w:r w:rsidR="007B5951">
        <w:t>e</w:t>
      </w:r>
      <w:r w:rsidRPr="00BB55ED">
        <w:t xml:space="preserve"> gleichzeitig die staatlich gesetzte Pflicht der betroffenen </w:t>
      </w:r>
      <w:r w:rsidRPr="00BB55ED">
        <w:lastRenderedPageBreak/>
        <w:t>Haushalte, zukünftig eine technische Kommunikationsschnittstelle in ihrem Haushalt zu dulden. Ein Vorgang, der potentiell die Grundlage für erhebl</w:t>
      </w:r>
      <w:r w:rsidRPr="00BB55ED">
        <w:t>i</w:t>
      </w:r>
      <w:r w:rsidRPr="00BB55ED">
        <w:t>che Eingriffe in das informationelle Selbstbestimmungsrecht der Bürger darstellt</w:t>
      </w:r>
      <w:r w:rsidR="007B5951">
        <w:t>e</w:t>
      </w:r>
      <w:r w:rsidRPr="00BB55ED">
        <w:t>.</w:t>
      </w:r>
      <w:r w:rsidRPr="00BB55ED">
        <w:rPr>
          <w:vertAlign w:val="superscript"/>
        </w:rPr>
        <w:footnoteReference w:id="30"/>
      </w:r>
      <w:r w:rsidR="00E57C47">
        <w:t xml:space="preserve"> Damit diese Regelung im Rahmen der Verhältnismäßigkeit als </w:t>
      </w:r>
      <w:r w:rsidR="007B5951">
        <w:t>verfassungskonform gelten konnte</w:t>
      </w:r>
      <w:r w:rsidR="004779DA">
        <w:t>,</w:t>
      </w:r>
      <w:r w:rsidR="00E57C47">
        <w:t xml:space="preserve"> wurde § 40 Abs. 5 </w:t>
      </w:r>
      <w:r w:rsidR="005307B6">
        <w:t xml:space="preserve">EnWG </w:t>
      </w:r>
      <w:r w:rsidR="00E57C47">
        <w:t xml:space="preserve">eingeführt. </w:t>
      </w:r>
      <w:r w:rsidR="00874FF5">
        <w:t>Durch § 40 Abs. 5</w:t>
      </w:r>
      <w:r w:rsidR="005307B6">
        <w:t xml:space="preserve"> EnWG</w:t>
      </w:r>
      <w:r w:rsidR="00874FF5">
        <w:t xml:space="preserve"> wu</w:t>
      </w:r>
      <w:r w:rsidR="00874FF5" w:rsidRPr="00F62240">
        <w:t>rd</w:t>
      </w:r>
      <w:r w:rsidR="00874FF5">
        <w:t>e</w:t>
      </w:r>
      <w:r w:rsidR="00874FF5" w:rsidRPr="00F62240">
        <w:t xml:space="preserve"> in Verbindung mit § 21g Abs. 6 S. 3</w:t>
      </w:r>
      <w:r w:rsidR="005307B6">
        <w:t xml:space="preserve"> EnWG a.F.</w:t>
      </w:r>
      <w:r w:rsidR="00874FF5" w:rsidRPr="00F62240">
        <w:t xml:space="preserve"> sichergestellt, dass es keinen Automatismus zwischen </w:t>
      </w:r>
      <w:r w:rsidR="004779DA">
        <w:t xml:space="preserve">dem </w:t>
      </w:r>
      <w:r w:rsidR="00874FF5" w:rsidRPr="00F62240">
        <w:t>Ei</w:t>
      </w:r>
      <w:r w:rsidR="00874FF5" w:rsidRPr="00F62240">
        <w:t>n</w:t>
      </w:r>
      <w:r w:rsidR="00874FF5" w:rsidRPr="00F62240">
        <w:t>bau eines Smart Meters und der Nutzung der Fernauslese von Verbrauchsd</w:t>
      </w:r>
      <w:r w:rsidR="00874FF5" w:rsidRPr="00F62240">
        <w:t>a</w:t>
      </w:r>
      <w:r w:rsidR="00874FF5" w:rsidRPr="00F62240">
        <w:t>ten und der damit verbundenen Preisg</w:t>
      </w:r>
      <w:r w:rsidR="007B5951">
        <w:t>abe personenbezogener Daten gab</w:t>
      </w:r>
      <w:r w:rsidR="00874FF5" w:rsidRPr="00F62240">
        <w:t>.</w:t>
      </w:r>
      <w:r w:rsidR="00874FF5" w:rsidRPr="00F62240">
        <w:rPr>
          <w:vertAlign w:val="superscript"/>
        </w:rPr>
        <w:footnoteReference w:id="31"/>
      </w:r>
      <w:r w:rsidR="001F5F1C">
        <w:t xml:space="preserve"> </w:t>
      </w:r>
      <w:r w:rsidR="00CC26D4">
        <w:t xml:space="preserve">Zudem wurde </w:t>
      </w:r>
      <w:r w:rsidR="00CC26D4" w:rsidRPr="00CC26D4">
        <w:t>die Regelung des Einwilligungserfordernisses in das Fer</w:t>
      </w:r>
      <w:r w:rsidR="00CC26D4" w:rsidRPr="00CC26D4">
        <w:t>n</w:t>
      </w:r>
      <w:r w:rsidR="00CC26D4" w:rsidRPr="00CC26D4">
        <w:t>messen und Fernwirken in § 21g Abs. 6 S. 5</w:t>
      </w:r>
      <w:r w:rsidR="005307B6">
        <w:t xml:space="preserve"> EnWG a.F.</w:t>
      </w:r>
      <w:r w:rsidR="00CC26D4" w:rsidRPr="00CC26D4">
        <w:t xml:space="preserve"> noch in der </w:t>
      </w:r>
      <w:r w:rsidR="00021DBF">
        <w:br/>
      </w:r>
      <w:r w:rsidR="00CC26D4" w:rsidRPr="00CC26D4">
        <w:t xml:space="preserve">Beschlussempfehlung und </w:t>
      </w:r>
      <w:r w:rsidR="00092718">
        <w:t xml:space="preserve">im </w:t>
      </w:r>
      <w:r w:rsidR="00CC26D4" w:rsidRPr="00CC26D4">
        <w:t>Bericht des Ausschusses für Wirtschaft und Technologie</w:t>
      </w:r>
      <w:r w:rsidR="00CC26D4" w:rsidRPr="00CC26D4">
        <w:rPr>
          <w:vertAlign w:val="superscript"/>
        </w:rPr>
        <w:footnoteReference w:id="32"/>
      </w:r>
      <w:r w:rsidR="00CC26D4" w:rsidRPr="00CC26D4">
        <w:t xml:space="preserve"> eingefügt</w:t>
      </w:r>
      <w:r w:rsidR="007B5951">
        <w:t>,</w:t>
      </w:r>
      <w:r w:rsidR="00CC26D4" w:rsidRPr="00CC26D4">
        <w:t xml:space="preserve"> um </w:t>
      </w:r>
      <w:r w:rsidR="00CC26D4">
        <w:t xml:space="preserve">nochmals </w:t>
      </w:r>
      <w:r w:rsidR="00CC26D4" w:rsidRPr="00CC26D4">
        <w:t>zu unterstreichen, dass es keinen Automatismus zwischen dem Einbau eines intelligenten Zählers und der Nutzung der Fernauslesung von Verbrauchsdaten geben soll</w:t>
      </w:r>
      <w:r w:rsidR="007B5951">
        <w:t>te</w:t>
      </w:r>
      <w:r w:rsidR="00CC26D4" w:rsidRPr="00CC26D4">
        <w:t>.</w:t>
      </w:r>
      <w:r w:rsidR="00CC26D4" w:rsidRPr="00CC26D4">
        <w:rPr>
          <w:vertAlign w:val="superscript"/>
        </w:rPr>
        <w:footnoteReference w:id="33"/>
      </w:r>
      <w:r w:rsidR="00CC26D4" w:rsidRPr="00CC26D4">
        <w:t xml:space="preserve"> </w:t>
      </w:r>
    </w:p>
    <w:p w:rsidR="00435AE5" w:rsidRPr="00E57C47" w:rsidRDefault="00435AE5" w:rsidP="006E7507">
      <w:r w:rsidRPr="00435AE5">
        <w:t>Zur Sicherung des Grundrechtsschutzes wurde mit der Novelle des EnWG 2011 deshalb der zutreffend geforderte datenschutzrechtliche Maßnahme</w:t>
      </w:r>
      <w:r w:rsidRPr="00435AE5">
        <w:t>n</w:t>
      </w:r>
      <w:r w:rsidRPr="00435AE5">
        <w:t>katalog eingeführt</w:t>
      </w:r>
      <w:r w:rsidR="001D6CE3">
        <w:t>.</w:t>
      </w:r>
      <w:r w:rsidRPr="00435AE5">
        <w:rPr>
          <w:vertAlign w:val="superscript"/>
        </w:rPr>
        <w:footnoteReference w:id="34"/>
      </w:r>
      <w:r w:rsidRPr="00435AE5">
        <w:t xml:space="preserve"> </w:t>
      </w:r>
    </w:p>
    <w:p w:rsidR="0098686F" w:rsidRDefault="00B61834" w:rsidP="00F30386">
      <w:pPr>
        <w:pStyle w:val="berschrift4"/>
      </w:pPr>
      <w:bookmarkStart w:id="33" w:name="_Ref467595391"/>
      <w:bookmarkStart w:id="34" w:name="_Toc490827356"/>
      <w:r>
        <w:t>Bewertung</w:t>
      </w:r>
      <w:bookmarkEnd w:id="33"/>
      <w:bookmarkEnd w:id="34"/>
      <w:r>
        <w:t xml:space="preserve"> </w:t>
      </w:r>
    </w:p>
    <w:p w:rsidR="00984B5D" w:rsidRPr="00984B5D" w:rsidRDefault="00DC746A" w:rsidP="006E7507">
      <w:r w:rsidRPr="005C6E83">
        <w:t xml:space="preserve">Die Gesamtkonzeption des datenschutzrechtlichen Rahmens erscheint auf den ersten Blick als kohärent und durch das abgestufte Schutzkonzept auch als datenschutzrechtlich „modern“. So hat das Konzept der „Datenhoheit“ </w:t>
      </w:r>
      <w:r w:rsidRPr="005C6E83">
        <w:lastRenderedPageBreak/>
        <w:t>seinen Niederschlag sogar in</w:t>
      </w:r>
      <w:r w:rsidR="00926527">
        <w:t xml:space="preserve"> den Grundgedanken</w:t>
      </w:r>
      <w:r w:rsidRPr="005C6E83">
        <w:t xml:space="preserve"> der </w:t>
      </w:r>
      <w:r w:rsidR="00C87322">
        <w:t xml:space="preserve">kommenden </w:t>
      </w:r>
      <w:r w:rsidRPr="005C6E83">
        <w:t>Date</w:t>
      </w:r>
      <w:r w:rsidRPr="005C6E83">
        <w:t>n</w:t>
      </w:r>
      <w:r w:rsidRPr="005C6E83">
        <w:t>schutzgrundverordnung gefunden</w:t>
      </w:r>
      <w:r w:rsidR="00EE6F49" w:rsidRPr="005C6E83">
        <w:rPr>
          <w:rStyle w:val="Funotenzeichen"/>
        </w:rPr>
        <w:footnoteReference w:id="35"/>
      </w:r>
      <w:r w:rsidRPr="005C6E83">
        <w:t>. Um die Defizite zu identifizieren</w:t>
      </w:r>
      <w:r w:rsidR="00BC0B7C">
        <w:t>,</w:t>
      </w:r>
      <w:r w:rsidRPr="005C6E83">
        <w:t xml:space="preserve"> muss ein </w:t>
      </w:r>
      <w:r w:rsidR="006F2CBB" w:rsidRPr="005C6E83">
        <w:t>Blick in die Details der Regelungen genommen werden.</w:t>
      </w:r>
      <w:r w:rsidR="00EE6F49" w:rsidRPr="005C6E83">
        <w:t xml:space="preserve"> </w:t>
      </w:r>
      <w:r w:rsidR="00984B5D" w:rsidRPr="005C6E83">
        <w:t xml:space="preserve">Im Folgenden werden die einzelnen Problematiken an der Wissensbasis des Gesetzgebers herausgegriffen und einer Bewertung zugeführt. </w:t>
      </w:r>
      <w:r w:rsidR="006F2CBB" w:rsidRPr="005C6E83">
        <w:t>Auch wenn der Fokus der Untersuchung hier auf der Optimierung von Wissensbeständen im Verfahren liegt, können diese Def</w:t>
      </w:r>
      <w:r w:rsidR="00EE6F49" w:rsidRPr="005C6E83">
        <w:t>i</w:t>
      </w:r>
      <w:r w:rsidR="006F2CBB" w:rsidRPr="005C6E83">
        <w:t>zite</w:t>
      </w:r>
      <w:r w:rsidR="00C87322">
        <w:t xml:space="preserve"> und die ihnen in der Folge jeweils innewohne</w:t>
      </w:r>
      <w:r w:rsidR="00C87322">
        <w:t>n</w:t>
      </w:r>
      <w:r w:rsidR="00C87322">
        <w:t>den Ansatzpunkt</w:t>
      </w:r>
      <w:r w:rsidR="009177DB">
        <w:t>e</w:t>
      </w:r>
      <w:r w:rsidR="00C87322">
        <w:t xml:space="preserve"> für eine zukünftige Lösung im in</w:t>
      </w:r>
      <w:r w:rsidR="00092718">
        <w:t>strumentell-</w:t>
      </w:r>
      <w:r w:rsidR="00C87322">
        <w:t>institutionellen Arrangement</w:t>
      </w:r>
      <w:r w:rsidR="006F2CBB" w:rsidRPr="005C6E83">
        <w:t xml:space="preserve"> nur verstanden werden, wenn auch der Blic</w:t>
      </w:r>
      <w:r w:rsidR="006F2CBB" w:rsidRPr="005C6E83">
        <w:t>k</w:t>
      </w:r>
      <w:r w:rsidR="006F2CBB" w:rsidRPr="005C6E83">
        <w:t>winkel materieller Normen mit einbezogen wird</w:t>
      </w:r>
      <w:r w:rsidR="009177DB">
        <w:t>, da sich das hier eingefüh</w:t>
      </w:r>
      <w:r w:rsidR="009177DB">
        <w:t>r</w:t>
      </w:r>
      <w:r w:rsidR="009177DB">
        <w:t>te V</w:t>
      </w:r>
      <w:r w:rsidR="00092718">
        <w:t>ier</w:t>
      </w:r>
      <w:r w:rsidR="006F2CBB" w:rsidRPr="005C6E83">
        <w:t>-Säulen-Modell als geschlossenes, auch wechselwirkendes Schut</w:t>
      </w:r>
      <w:r w:rsidR="006F2CBB" w:rsidRPr="005C6E83">
        <w:t>z</w:t>
      </w:r>
      <w:r w:rsidR="006F2CBB" w:rsidRPr="005C6E83">
        <w:t>konzept versteht.</w:t>
      </w:r>
    </w:p>
    <w:p w:rsidR="006F2CBB" w:rsidRPr="00542374" w:rsidRDefault="00542374" w:rsidP="00F30386">
      <w:pPr>
        <w:pStyle w:val="berschrift3"/>
      </w:pPr>
      <w:bookmarkStart w:id="35" w:name="_Toc490827357"/>
      <w:bookmarkStart w:id="36" w:name="_Toc491418253"/>
      <w:r>
        <w:t>Defizite innerhalb der materiellen Datenschutzvorgaben</w:t>
      </w:r>
      <w:bookmarkEnd w:id="35"/>
      <w:bookmarkEnd w:id="36"/>
    </w:p>
    <w:p w:rsidR="006F2CBB" w:rsidRPr="00435AE5" w:rsidRDefault="003455EF" w:rsidP="00417FA2">
      <w:pPr>
        <w:pStyle w:val="berschrift4"/>
        <w:numPr>
          <w:ilvl w:val="0"/>
          <w:numId w:val="31"/>
        </w:numPr>
        <w:ind w:left="851" w:hanging="851"/>
      </w:pPr>
      <w:bookmarkStart w:id="37" w:name="_Toc490827358"/>
      <w:r>
        <w:t>Mangelnde Flexibilität</w:t>
      </w:r>
      <w:r w:rsidR="006F2CBB">
        <w:t xml:space="preserve"> </w:t>
      </w:r>
      <w:r>
        <w:t xml:space="preserve">für die </w:t>
      </w:r>
      <w:r w:rsidR="006F2CBB">
        <w:t>Energieeffizienzzi</w:t>
      </w:r>
      <w:r>
        <w:t>ele</w:t>
      </w:r>
      <w:bookmarkEnd w:id="37"/>
      <w:r w:rsidR="006F2CBB">
        <w:t xml:space="preserve"> </w:t>
      </w:r>
    </w:p>
    <w:p w:rsidR="006F2CBB" w:rsidRDefault="006F2CBB" w:rsidP="00417FA2">
      <w:pPr>
        <w:pStyle w:val="berschrift5"/>
        <w:numPr>
          <w:ilvl w:val="0"/>
          <w:numId w:val="32"/>
        </w:numPr>
        <w:ind w:left="851" w:hanging="709"/>
      </w:pPr>
      <w:bookmarkStart w:id="38" w:name="_Toc308694136"/>
      <w:bookmarkStart w:id="39" w:name="_Ref466035374"/>
      <w:bookmarkStart w:id="40" w:name="_Ref466035396"/>
      <w:bookmarkStart w:id="41" w:name="_Toc490827359"/>
      <w:r>
        <w:t xml:space="preserve">Fehlen einer </w:t>
      </w:r>
      <w:r w:rsidRPr="00435AE5">
        <w:t>Einwilligung</w:t>
      </w:r>
      <w:bookmarkEnd w:id="38"/>
      <w:r>
        <w:t>sregelung</w:t>
      </w:r>
      <w:bookmarkEnd w:id="39"/>
      <w:bookmarkEnd w:id="40"/>
      <w:bookmarkEnd w:id="41"/>
      <w:r w:rsidR="006D171B">
        <w:t xml:space="preserve"> </w:t>
      </w:r>
    </w:p>
    <w:p w:rsidR="005464E2" w:rsidRDefault="005464E2" w:rsidP="006E7507">
      <w:r>
        <w:t xml:space="preserve">Ein </w:t>
      </w:r>
      <w:r w:rsidR="00C87322">
        <w:t xml:space="preserve">erstes </w:t>
      </w:r>
      <w:r>
        <w:t xml:space="preserve">Beispiel für Defizite im Bereich des </w:t>
      </w:r>
      <w:r w:rsidRPr="005464E2">
        <w:rPr>
          <w:i/>
        </w:rPr>
        <w:t>normativen Wissens</w:t>
      </w:r>
      <w:r>
        <w:t xml:space="preserve"> im </w:t>
      </w:r>
      <w:r w:rsidRPr="005464E2">
        <w:rPr>
          <w:i/>
        </w:rPr>
        <w:t>legi</w:t>
      </w:r>
      <w:r w:rsidRPr="005464E2">
        <w:rPr>
          <w:i/>
        </w:rPr>
        <w:t>s</w:t>
      </w:r>
      <w:r w:rsidRPr="005464E2">
        <w:rPr>
          <w:i/>
        </w:rPr>
        <w:t>lativen Entscheidungsprozess</w:t>
      </w:r>
      <w:r w:rsidR="007C51A5">
        <w:t xml:space="preserve"> ist </w:t>
      </w:r>
      <w:r>
        <w:t>in dem Fehlen einer sachlichen Einwill</w:t>
      </w:r>
      <w:r>
        <w:t>i</w:t>
      </w:r>
      <w:r>
        <w:t>gun</w:t>
      </w:r>
      <w:r w:rsidR="007B5951">
        <w:t>gsregelung</w:t>
      </w:r>
      <w:r w:rsidR="00C87322">
        <w:t xml:space="preserve"> zu der Verwen</w:t>
      </w:r>
      <w:r w:rsidR="009177DB">
        <w:t>dung von Messdaten für Effizienz</w:t>
      </w:r>
      <w:r w:rsidR="00C87322">
        <w:t>mechani</w:t>
      </w:r>
      <w:r w:rsidR="00C87322">
        <w:t>s</w:t>
      </w:r>
      <w:r w:rsidR="00C87322">
        <w:t>men</w:t>
      </w:r>
      <w:r w:rsidR="009177DB">
        <w:t xml:space="preserve"> und -d</w:t>
      </w:r>
      <w:r w:rsidR="00220A8F">
        <w:t>ienste</w:t>
      </w:r>
      <w:r w:rsidR="00C87322">
        <w:t xml:space="preserve"> außerhalb der bekannten marktlichen Angebote</w:t>
      </w:r>
      <w:r w:rsidR="007B5951">
        <w:t xml:space="preserve"> im EnWG zu sehen</w:t>
      </w:r>
      <w:r>
        <w:t>.</w:t>
      </w:r>
    </w:p>
    <w:p w:rsidR="006F2CBB" w:rsidRPr="00435AE5" w:rsidRDefault="006F2CBB" w:rsidP="00B10FE7">
      <w:pPr>
        <w:rPr>
          <w:rFonts w:eastAsia="Times New Roman"/>
          <w:szCs w:val="24"/>
        </w:rPr>
      </w:pPr>
      <w:r w:rsidRPr="00435AE5">
        <w:rPr>
          <w:rFonts w:eastAsia="Times New Roman"/>
          <w:szCs w:val="24"/>
        </w:rPr>
        <w:t>Bereichsspezifische Datenschutzregelungen sehen im Rahmen der Statui</w:t>
      </w:r>
      <w:r w:rsidRPr="00435AE5">
        <w:rPr>
          <w:rFonts w:eastAsia="Times New Roman"/>
          <w:szCs w:val="24"/>
        </w:rPr>
        <w:t>e</w:t>
      </w:r>
      <w:r w:rsidRPr="00435AE5">
        <w:rPr>
          <w:rFonts w:eastAsia="Times New Roman"/>
          <w:szCs w:val="24"/>
        </w:rPr>
        <w:t xml:space="preserve">rung </w:t>
      </w:r>
      <w:r w:rsidR="00220A8F">
        <w:rPr>
          <w:rFonts w:eastAsia="Times New Roman"/>
          <w:szCs w:val="24"/>
        </w:rPr>
        <w:t>eines</w:t>
      </w:r>
      <w:r w:rsidR="00220A8F" w:rsidRPr="00435AE5">
        <w:rPr>
          <w:rFonts w:eastAsia="Times New Roman"/>
          <w:szCs w:val="24"/>
        </w:rPr>
        <w:t xml:space="preserve"> </w:t>
      </w:r>
      <w:r w:rsidRPr="00435AE5">
        <w:rPr>
          <w:rFonts w:eastAsia="Times New Roman"/>
          <w:szCs w:val="24"/>
        </w:rPr>
        <w:t>gesetzlichen Verbotes</w:t>
      </w:r>
      <w:r w:rsidR="00220A8F">
        <w:rPr>
          <w:rFonts w:eastAsia="Times New Roman"/>
          <w:szCs w:val="24"/>
        </w:rPr>
        <w:t xml:space="preserve"> einer Datenverwendung</w:t>
      </w:r>
      <w:r w:rsidRPr="00435AE5">
        <w:rPr>
          <w:rFonts w:eastAsia="Times New Roman"/>
          <w:szCs w:val="24"/>
        </w:rPr>
        <w:t xml:space="preserve"> mit Erlaubnisvo</w:t>
      </w:r>
      <w:r w:rsidRPr="00435AE5">
        <w:rPr>
          <w:rFonts w:eastAsia="Times New Roman"/>
          <w:szCs w:val="24"/>
        </w:rPr>
        <w:t>r</w:t>
      </w:r>
      <w:r w:rsidRPr="00435AE5">
        <w:rPr>
          <w:rFonts w:eastAsia="Times New Roman"/>
          <w:szCs w:val="24"/>
        </w:rPr>
        <w:t>behalt in der Regel neben einem Katalog von gesetzlichen Erlaubnistatb</w:t>
      </w:r>
      <w:r w:rsidRPr="00435AE5">
        <w:rPr>
          <w:rFonts w:eastAsia="Times New Roman"/>
          <w:szCs w:val="24"/>
        </w:rPr>
        <w:t>e</w:t>
      </w:r>
      <w:r w:rsidRPr="00435AE5">
        <w:rPr>
          <w:rFonts w:eastAsia="Times New Roman"/>
          <w:szCs w:val="24"/>
        </w:rPr>
        <w:lastRenderedPageBreak/>
        <w:t>ständen auch die Einwilligung des Nutzers in eine konkrete Datenverwe</w:t>
      </w:r>
      <w:r w:rsidRPr="00435AE5">
        <w:rPr>
          <w:rFonts w:eastAsia="Times New Roman"/>
          <w:szCs w:val="24"/>
        </w:rPr>
        <w:t>n</w:t>
      </w:r>
      <w:r w:rsidRPr="00435AE5">
        <w:rPr>
          <w:rFonts w:eastAsia="Times New Roman"/>
          <w:szCs w:val="24"/>
        </w:rPr>
        <w:t xml:space="preserve">dung als Legitimationsgrundlage vor. </w:t>
      </w:r>
      <w:r w:rsidR="007B5951">
        <w:rPr>
          <w:rFonts w:eastAsia="Times New Roman"/>
          <w:szCs w:val="24"/>
        </w:rPr>
        <w:t>Eine solche Einwilligung fand</w:t>
      </w:r>
      <w:r>
        <w:rPr>
          <w:rFonts w:eastAsia="Times New Roman"/>
          <w:szCs w:val="24"/>
        </w:rPr>
        <w:t xml:space="preserve"> sich im </w:t>
      </w:r>
      <w:r w:rsidRPr="00435AE5">
        <w:rPr>
          <w:rFonts w:eastAsia="Times New Roman"/>
          <w:szCs w:val="24"/>
        </w:rPr>
        <w:t>novellierten EnWG nicht. Die Einwilligu</w:t>
      </w:r>
      <w:r w:rsidR="007B5951">
        <w:rPr>
          <w:rFonts w:eastAsia="Times New Roman"/>
          <w:szCs w:val="24"/>
        </w:rPr>
        <w:t>ng des § 21g Abs. 2 EnWG bezog</w:t>
      </w:r>
      <w:r w:rsidRPr="00435AE5">
        <w:rPr>
          <w:rFonts w:eastAsia="Times New Roman"/>
          <w:szCs w:val="24"/>
        </w:rPr>
        <w:t xml:space="preserve"> sich lediglich auf den personellen Anwendungsbereich des Gesetzes. Die zweite</w:t>
      </w:r>
      <w:r w:rsidR="00BC0B7C">
        <w:rPr>
          <w:rFonts w:eastAsia="Times New Roman"/>
          <w:szCs w:val="24"/>
        </w:rPr>
        <w:t>,</w:t>
      </w:r>
      <w:r w:rsidRPr="00435AE5">
        <w:rPr>
          <w:rFonts w:eastAsia="Times New Roman"/>
          <w:szCs w:val="24"/>
        </w:rPr>
        <w:t xml:space="preserve"> im Rahmen der Verordnungsermächtigung des § 21g Abs. 6 S. 5 EnWG eingeführte</w:t>
      </w:r>
      <w:r w:rsidRPr="00435AE5">
        <w:rPr>
          <w:rFonts w:eastAsia="Times New Roman"/>
          <w:szCs w:val="24"/>
          <w:vertAlign w:val="superscript"/>
        </w:rPr>
        <w:footnoteReference w:id="36"/>
      </w:r>
      <w:r w:rsidR="007B5951">
        <w:rPr>
          <w:rFonts w:eastAsia="Times New Roman"/>
          <w:szCs w:val="24"/>
        </w:rPr>
        <w:t xml:space="preserve"> Einwilligung war</w:t>
      </w:r>
      <w:r w:rsidRPr="00435AE5">
        <w:rPr>
          <w:rFonts w:eastAsia="Times New Roman"/>
          <w:szCs w:val="24"/>
        </w:rPr>
        <w:t xml:space="preserve"> lediglich Ausdruck der Hoheit des Letztverbrauchers über die Dat</w:t>
      </w:r>
      <w:r w:rsidR="007B5951">
        <w:rPr>
          <w:rFonts w:eastAsia="Times New Roman"/>
          <w:szCs w:val="24"/>
        </w:rPr>
        <w:t>en auf seinem Messgerät. Sie war</w:t>
      </w:r>
      <w:r w:rsidRPr="00435AE5">
        <w:rPr>
          <w:rFonts w:eastAsia="Times New Roman"/>
          <w:szCs w:val="24"/>
        </w:rPr>
        <w:t xml:space="preserve"> für jeden Fall des Fernmessens, mithin in der Phase der Erhebung der Mes</w:t>
      </w:r>
      <w:r w:rsidRPr="00435AE5">
        <w:rPr>
          <w:rFonts w:eastAsia="Times New Roman"/>
          <w:szCs w:val="24"/>
        </w:rPr>
        <w:t>s</w:t>
      </w:r>
      <w:r w:rsidRPr="00435AE5">
        <w:rPr>
          <w:rFonts w:eastAsia="Times New Roman"/>
          <w:szCs w:val="24"/>
        </w:rPr>
        <w:t xml:space="preserve">daten, immer kumulativ zur gesetzlichen Erlaubnis erforderlich. </w:t>
      </w:r>
    </w:p>
    <w:p w:rsidR="006F2CBB" w:rsidRPr="00435AE5" w:rsidRDefault="006F2CBB" w:rsidP="00B10FE7">
      <w:pPr>
        <w:rPr>
          <w:rFonts w:eastAsia="Times New Roman"/>
          <w:szCs w:val="24"/>
        </w:rPr>
      </w:pPr>
      <w:r w:rsidRPr="00435AE5">
        <w:rPr>
          <w:rFonts w:eastAsia="Times New Roman"/>
          <w:szCs w:val="24"/>
        </w:rPr>
        <w:t>Da der Verbotstatbestand des § 21g Abs. 1 EnWG spezieller und damit auch vorrangig gegenüber dem allgemeinen Verbot aus § 4 Abs. 1 BDSG ang</w:t>
      </w:r>
      <w:r w:rsidR="007B5951">
        <w:rPr>
          <w:rFonts w:eastAsia="Times New Roman"/>
          <w:szCs w:val="24"/>
        </w:rPr>
        <w:t>e</w:t>
      </w:r>
      <w:r w:rsidR="007B5951">
        <w:rPr>
          <w:rFonts w:eastAsia="Times New Roman"/>
          <w:szCs w:val="24"/>
        </w:rPr>
        <w:t>legt war, konnte</w:t>
      </w:r>
      <w:r w:rsidRPr="00435AE5">
        <w:rPr>
          <w:rFonts w:eastAsia="Times New Roman"/>
          <w:szCs w:val="24"/>
        </w:rPr>
        <w:t xml:space="preserve"> hinsichtlich der Verwendung der Messdaten nicht mehr auf die allgemeinen Erlaubnistatbestände des § 4 Abs. 1 BDSG, mithin</w:t>
      </w:r>
      <w:r w:rsidR="00BC0B7C">
        <w:rPr>
          <w:rFonts w:eastAsia="Times New Roman"/>
          <w:szCs w:val="24"/>
        </w:rPr>
        <w:t xml:space="preserve"> auf</w:t>
      </w:r>
      <w:r w:rsidRPr="00435AE5">
        <w:rPr>
          <w:rFonts w:eastAsia="Times New Roman"/>
          <w:szCs w:val="24"/>
        </w:rPr>
        <w:t xml:space="preserve"> die dortige Einwilligung, zurückgegriffen werden.</w:t>
      </w:r>
    </w:p>
    <w:p w:rsidR="006F2CBB" w:rsidRPr="00435AE5" w:rsidRDefault="007B5951" w:rsidP="00B10FE7">
      <w:pPr>
        <w:rPr>
          <w:rFonts w:eastAsia="Times New Roman"/>
          <w:szCs w:val="24"/>
        </w:rPr>
      </w:pPr>
      <w:r>
        <w:rPr>
          <w:rFonts w:eastAsia="Times New Roman"/>
          <w:szCs w:val="24"/>
        </w:rPr>
        <w:t>Dies galt</w:t>
      </w:r>
      <w:r w:rsidR="006F2CBB" w:rsidRPr="00435AE5">
        <w:rPr>
          <w:rFonts w:eastAsia="Times New Roman"/>
          <w:szCs w:val="24"/>
        </w:rPr>
        <w:t>, obwohl der Wortlaut des § 21g Abs. 1 EnWG den im Date</w:t>
      </w:r>
      <w:r w:rsidR="006F2CBB" w:rsidRPr="00435AE5">
        <w:rPr>
          <w:rFonts w:eastAsia="Times New Roman"/>
          <w:szCs w:val="24"/>
        </w:rPr>
        <w:t>n</w:t>
      </w:r>
      <w:r w:rsidR="006F2CBB" w:rsidRPr="00435AE5">
        <w:rPr>
          <w:rFonts w:eastAsia="Times New Roman"/>
          <w:szCs w:val="24"/>
        </w:rPr>
        <w:t>schutzrecht allgemein verankerten Grundsatz des präventiven Verbotes mit Erlaubnisvorbehalt für die Zulässigkeit einer Datenverwendung nicht expl</w:t>
      </w:r>
      <w:r w:rsidR="006F2CBB" w:rsidRPr="00435AE5">
        <w:rPr>
          <w:rFonts w:eastAsia="Times New Roman"/>
          <w:szCs w:val="24"/>
        </w:rPr>
        <w:t>i</w:t>
      </w:r>
      <w:r w:rsidR="006F2CBB" w:rsidRPr="00435AE5">
        <w:rPr>
          <w:rFonts w:eastAsia="Times New Roman"/>
          <w:szCs w:val="24"/>
        </w:rPr>
        <w:t>zit ausdrückt</w:t>
      </w:r>
      <w:r>
        <w:rPr>
          <w:rFonts w:eastAsia="Times New Roman"/>
          <w:szCs w:val="24"/>
        </w:rPr>
        <w:t xml:space="preserve">e. </w:t>
      </w:r>
      <w:r w:rsidR="006F2CBB" w:rsidRPr="00435AE5">
        <w:rPr>
          <w:rFonts w:eastAsia="Times New Roman"/>
          <w:szCs w:val="24"/>
        </w:rPr>
        <w:t>Nach dem Wort</w:t>
      </w:r>
      <w:r>
        <w:rPr>
          <w:rFonts w:eastAsia="Times New Roman"/>
          <w:szCs w:val="24"/>
        </w:rPr>
        <w:t xml:space="preserve">laut des § 21g Abs. 1 EnWG wurde </w:t>
      </w:r>
      <w:r w:rsidR="006F2CBB" w:rsidRPr="00435AE5">
        <w:rPr>
          <w:rFonts w:eastAsia="Times New Roman"/>
          <w:szCs w:val="24"/>
        </w:rPr>
        <w:t xml:space="preserve">einerseits durch die Formulierung </w:t>
      </w:r>
      <w:r w:rsidR="006F2CBB" w:rsidRPr="00435AE5">
        <w:rPr>
          <w:rFonts w:eastAsia="Times New Roman"/>
          <w:i/>
          <w:szCs w:val="24"/>
        </w:rPr>
        <w:t>„ausschließlich durch zum Datenumgang berechti</w:t>
      </w:r>
      <w:r w:rsidR="006F2CBB" w:rsidRPr="00435AE5">
        <w:rPr>
          <w:rFonts w:eastAsia="Times New Roman"/>
          <w:i/>
          <w:szCs w:val="24"/>
        </w:rPr>
        <w:t>g</w:t>
      </w:r>
      <w:r w:rsidR="006F2CBB" w:rsidRPr="00435AE5">
        <w:rPr>
          <w:rFonts w:eastAsia="Times New Roman"/>
          <w:i/>
          <w:szCs w:val="24"/>
        </w:rPr>
        <w:t>te Stellen“</w:t>
      </w:r>
      <w:r w:rsidR="006F2CBB" w:rsidRPr="00435AE5">
        <w:rPr>
          <w:rFonts w:eastAsia="Times New Roman"/>
          <w:szCs w:val="24"/>
        </w:rPr>
        <w:t xml:space="preserve"> schon eine personelle Begren</w:t>
      </w:r>
      <w:r>
        <w:rPr>
          <w:rFonts w:eastAsia="Times New Roman"/>
          <w:szCs w:val="24"/>
        </w:rPr>
        <w:t>zung vorgenommen und damit für jede</w:t>
      </w:r>
      <w:r w:rsidR="006F2CBB" w:rsidRPr="00435AE5">
        <w:rPr>
          <w:rFonts w:eastAsia="Times New Roman"/>
          <w:szCs w:val="24"/>
        </w:rPr>
        <w:t xml:space="preserve"> Stelle außerhalb diese</w:t>
      </w:r>
      <w:r>
        <w:rPr>
          <w:rFonts w:eastAsia="Times New Roman"/>
          <w:szCs w:val="24"/>
        </w:rPr>
        <w:t>s Adressatenkreises ein Verbot ausgesprochen</w:t>
      </w:r>
      <w:r w:rsidR="006F2CBB" w:rsidRPr="00435AE5">
        <w:rPr>
          <w:rFonts w:eastAsia="Times New Roman"/>
          <w:szCs w:val="24"/>
        </w:rPr>
        <w:t>. Auf der anderen Seite geriert</w:t>
      </w:r>
      <w:r>
        <w:rPr>
          <w:rFonts w:eastAsia="Times New Roman"/>
          <w:szCs w:val="24"/>
        </w:rPr>
        <w:t>e</w:t>
      </w:r>
      <w:r w:rsidR="006F2CBB" w:rsidRPr="00435AE5">
        <w:rPr>
          <w:rFonts w:eastAsia="Times New Roman"/>
          <w:szCs w:val="24"/>
        </w:rPr>
        <w:t xml:space="preserve"> sich der sachliche Verbotstatbestand als Zweckbestimmung. Diese ähnelt</w:t>
      </w:r>
      <w:r>
        <w:rPr>
          <w:rFonts w:eastAsia="Times New Roman"/>
          <w:szCs w:val="24"/>
        </w:rPr>
        <w:t>e</w:t>
      </w:r>
      <w:r w:rsidR="006F2CBB" w:rsidRPr="00435AE5">
        <w:rPr>
          <w:rFonts w:eastAsia="Times New Roman"/>
          <w:szCs w:val="24"/>
        </w:rPr>
        <w:t xml:space="preserve"> in ihrem systematischen Aufbau eher der Re</w:t>
      </w:r>
      <w:r>
        <w:rPr>
          <w:rFonts w:eastAsia="Times New Roman"/>
          <w:szCs w:val="24"/>
        </w:rPr>
        <w:t>gelung des § 28 BDSG. Jedoch wurde</w:t>
      </w:r>
      <w:r w:rsidR="006F2CBB" w:rsidRPr="00435AE5">
        <w:rPr>
          <w:rFonts w:eastAsia="Times New Roman"/>
          <w:szCs w:val="24"/>
        </w:rPr>
        <w:t xml:space="preserve"> durch die Formulierung, dass die Verwendung personenbezogener Messdaten „</w:t>
      </w:r>
      <w:r w:rsidR="006F2CBB" w:rsidRPr="00435AE5">
        <w:rPr>
          <w:rFonts w:eastAsia="Times New Roman"/>
          <w:i/>
          <w:szCs w:val="24"/>
        </w:rPr>
        <w:t xml:space="preserve">auf Grund dieses Gesetzes </w:t>
      </w:r>
      <w:r w:rsidR="006F2CBB" w:rsidRPr="00435AE5">
        <w:rPr>
          <w:rFonts w:eastAsia="Times New Roman"/>
          <w:i/>
          <w:szCs w:val="24"/>
          <w:u w:val="single"/>
        </w:rPr>
        <w:t>nur</w:t>
      </w:r>
      <w:r w:rsidR="006F2CBB" w:rsidRPr="00435AE5">
        <w:rPr>
          <w:rFonts w:eastAsia="Times New Roman"/>
          <w:szCs w:val="24"/>
        </w:rPr>
        <w:t>“ für die</w:t>
      </w:r>
      <w:r>
        <w:rPr>
          <w:rFonts w:eastAsia="Times New Roman"/>
          <w:szCs w:val="24"/>
        </w:rPr>
        <w:t xml:space="preserve"> genannten Zwecke erfolgen durfte</w:t>
      </w:r>
      <w:r w:rsidR="006F2CBB" w:rsidRPr="00435AE5">
        <w:rPr>
          <w:rFonts w:eastAsia="Times New Roman"/>
          <w:szCs w:val="24"/>
        </w:rPr>
        <w:t>, das absolute Verbot jedw</w:t>
      </w:r>
      <w:r w:rsidR="006F2CBB" w:rsidRPr="00435AE5">
        <w:rPr>
          <w:rFonts w:eastAsia="Times New Roman"/>
          <w:szCs w:val="24"/>
        </w:rPr>
        <w:t>e</w:t>
      </w:r>
      <w:r w:rsidR="006F2CBB" w:rsidRPr="00435AE5">
        <w:rPr>
          <w:rFonts w:eastAsia="Times New Roman"/>
          <w:szCs w:val="24"/>
        </w:rPr>
        <w:t xml:space="preserve">der anderweitigen Verwendung deutlich gemacht. </w:t>
      </w:r>
    </w:p>
    <w:p w:rsidR="006F2CBB" w:rsidRPr="00021DBF" w:rsidRDefault="006F2CBB" w:rsidP="00B10FE7">
      <w:pPr>
        <w:rPr>
          <w:rFonts w:eastAsia="Times New Roman"/>
          <w:i/>
          <w:szCs w:val="24"/>
        </w:rPr>
      </w:pPr>
      <w:r w:rsidRPr="00435AE5">
        <w:rPr>
          <w:rFonts w:eastAsia="Times New Roman"/>
          <w:szCs w:val="24"/>
        </w:rPr>
        <w:lastRenderedPageBreak/>
        <w:t>Dass diese Wertung auch der Inten</w:t>
      </w:r>
      <w:r w:rsidR="007B5951">
        <w:rPr>
          <w:rFonts w:eastAsia="Times New Roman"/>
          <w:szCs w:val="24"/>
        </w:rPr>
        <w:t>tion des Gesetzgebers entsprach</w:t>
      </w:r>
      <w:r w:rsidRPr="00435AE5">
        <w:rPr>
          <w:rFonts w:eastAsia="Times New Roman"/>
          <w:szCs w:val="24"/>
        </w:rPr>
        <w:t xml:space="preserve"> wird in der Begründung zur Gesetzesnovelle verdeutlicht, in welcher das date</w:t>
      </w:r>
      <w:r w:rsidRPr="00435AE5">
        <w:rPr>
          <w:rFonts w:eastAsia="Times New Roman"/>
          <w:szCs w:val="24"/>
        </w:rPr>
        <w:t>n</w:t>
      </w:r>
      <w:r w:rsidRPr="00435AE5">
        <w:rPr>
          <w:rFonts w:eastAsia="Times New Roman"/>
          <w:szCs w:val="24"/>
        </w:rPr>
        <w:t xml:space="preserve">schutzrechtliche Schutzkonzept </w:t>
      </w:r>
      <w:r w:rsidR="007B5951">
        <w:rPr>
          <w:rFonts w:eastAsia="Times New Roman"/>
          <w:szCs w:val="24"/>
        </w:rPr>
        <w:t>anschaulich zusammengefasst wurde</w:t>
      </w:r>
      <w:r w:rsidRPr="00435AE5">
        <w:rPr>
          <w:rFonts w:eastAsia="Times New Roman"/>
          <w:szCs w:val="24"/>
        </w:rPr>
        <w:t xml:space="preserve">. </w:t>
      </w:r>
      <w:r w:rsidR="00021DBF">
        <w:rPr>
          <w:rFonts w:eastAsia="Times New Roman"/>
          <w:szCs w:val="24"/>
        </w:rPr>
        <w:br/>
      </w:r>
      <w:r w:rsidRPr="00435AE5">
        <w:rPr>
          <w:rFonts w:eastAsia="Times New Roman"/>
          <w:szCs w:val="24"/>
        </w:rPr>
        <w:t>„</w:t>
      </w:r>
      <w:r w:rsidRPr="00435AE5">
        <w:rPr>
          <w:rFonts w:eastAsia="Times New Roman"/>
          <w:i/>
          <w:szCs w:val="24"/>
        </w:rPr>
        <w:t xml:space="preserve">Erhebung, Verarbeitung und Nutzung personenbezogener Daten sind </w:t>
      </w:r>
      <w:r w:rsidR="00021DBF">
        <w:rPr>
          <w:rFonts w:eastAsia="Times New Roman"/>
          <w:i/>
          <w:szCs w:val="24"/>
        </w:rPr>
        <w:br/>
      </w:r>
      <w:r w:rsidRPr="00435AE5">
        <w:rPr>
          <w:rFonts w:eastAsia="Times New Roman"/>
          <w:i/>
          <w:szCs w:val="24"/>
          <w:u w:val="single"/>
        </w:rPr>
        <w:t>ausschließlich</w:t>
      </w:r>
      <w:r w:rsidRPr="00435AE5">
        <w:rPr>
          <w:rFonts w:eastAsia="Times New Roman"/>
          <w:i/>
          <w:szCs w:val="24"/>
        </w:rPr>
        <w:t xml:space="preserve"> in den in § 21g beschriebenen Fällen zulässig und dann auch nur, wenn sie über Systeme und Vorrichtungen vorgenommen werden, </w:t>
      </w:r>
      <w:r w:rsidR="00021DBF">
        <w:rPr>
          <w:rFonts w:eastAsia="Times New Roman"/>
          <w:i/>
          <w:szCs w:val="24"/>
        </w:rPr>
        <w:br/>
      </w:r>
      <w:r w:rsidRPr="00435AE5">
        <w:rPr>
          <w:rFonts w:eastAsia="Times New Roman"/>
          <w:i/>
          <w:szCs w:val="24"/>
        </w:rPr>
        <w:t>die in Gesetz, Verordnung, Schutzprofilen und Technischen Richtlinien fes</w:t>
      </w:r>
      <w:r w:rsidRPr="00435AE5">
        <w:rPr>
          <w:rFonts w:eastAsia="Times New Roman"/>
          <w:i/>
          <w:szCs w:val="24"/>
        </w:rPr>
        <w:t>t</w:t>
      </w:r>
      <w:r w:rsidRPr="00435AE5">
        <w:rPr>
          <w:rFonts w:eastAsia="Times New Roman"/>
          <w:i/>
          <w:szCs w:val="24"/>
        </w:rPr>
        <w:t>gelegt sind</w:t>
      </w:r>
      <w:r w:rsidRPr="00435AE5">
        <w:rPr>
          <w:rFonts w:eastAsia="Times New Roman"/>
          <w:szCs w:val="24"/>
        </w:rPr>
        <w:t>“.</w:t>
      </w:r>
      <w:r w:rsidRPr="00435AE5">
        <w:rPr>
          <w:rFonts w:eastAsia="Times New Roman"/>
          <w:szCs w:val="24"/>
          <w:vertAlign w:val="superscript"/>
        </w:rPr>
        <w:footnoteReference w:id="37"/>
      </w:r>
    </w:p>
    <w:p w:rsidR="00D44A67" w:rsidRDefault="006F2CBB" w:rsidP="00B10FE7">
      <w:pPr>
        <w:rPr>
          <w:rFonts w:eastAsia="Times New Roman"/>
          <w:szCs w:val="24"/>
        </w:rPr>
      </w:pPr>
      <w:r>
        <w:rPr>
          <w:rFonts w:eastAsia="Times New Roman"/>
          <w:szCs w:val="24"/>
        </w:rPr>
        <w:t>Damit</w:t>
      </w:r>
      <w:r w:rsidR="00932C84">
        <w:rPr>
          <w:rFonts w:eastAsia="Times New Roman"/>
          <w:szCs w:val="24"/>
        </w:rPr>
        <w:t xml:space="preserve"> war</w:t>
      </w:r>
      <w:r>
        <w:rPr>
          <w:rFonts w:eastAsia="Times New Roman"/>
          <w:szCs w:val="24"/>
        </w:rPr>
        <w:t xml:space="preserve"> eine Einwilligung in </w:t>
      </w:r>
      <w:r w:rsidR="00220A8F">
        <w:rPr>
          <w:rFonts w:eastAsia="Times New Roman"/>
          <w:szCs w:val="24"/>
        </w:rPr>
        <w:t>die Verwendung von Messdaten zu Zw</w:t>
      </w:r>
      <w:r w:rsidR="00220A8F">
        <w:rPr>
          <w:rFonts w:eastAsia="Times New Roman"/>
          <w:szCs w:val="24"/>
        </w:rPr>
        <w:t>e</w:t>
      </w:r>
      <w:r w:rsidR="00220A8F">
        <w:rPr>
          <w:rFonts w:eastAsia="Times New Roman"/>
          <w:szCs w:val="24"/>
        </w:rPr>
        <w:t>cken</w:t>
      </w:r>
      <w:r>
        <w:rPr>
          <w:rFonts w:eastAsia="Times New Roman"/>
          <w:szCs w:val="24"/>
        </w:rPr>
        <w:t xml:space="preserve"> der Innovationsoffenheit und Energieeffizienz </w:t>
      </w:r>
      <w:r w:rsidR="00220A8F">
        <w:rPr>
          <w:rFonts w:eastAsia="Times New Roman"/>
          <w:szCs w:val="24"/>
        </w:rPr>
        <w:t xml:space="preserve">fördernder </w:t>
      </w:r>
      <w:r>
        <w:rPr>
          <w:rFonts w:eastAsia="Times New Roman"/>
          <w:szCs w:val="24"/>
        </w:rPr>
        <w:t>Dienstleitu</w:t>
      </w:r>
      <w:r>
        <w:rPr>
          <w:rFonts w:eastAsia="Times New Roman"/>
          <w:szCs w:val="24"/>
        </w:rPr>
        <w:t>n</w:t>
      </w:r>
      <w:r>
        <w:rPr>
          <w:rFonts w:eastAsia="Times New Roman"/>
          <w:szCs w:val="24"/>
        </w:rPr>
        <w:t>gen Dritter praktisch nic</w:t>
      </w:r>
      <w:r w:rsidR="007B5951">
        <w:rPr>
          <w:rFonts w:eastAsia="Times New Roman"/>
          <w:szCs w:val="24"/>
        </w:rPr>
        <w:t>ht möglich. Dies stand</w:t>
      </w:r>
      <w:r>
        <w:rPr>
          <w:rFonts w:eastAsia="Times New Roman"/>
          <w:szCs w:val="24"/>
        </w:rPr>
        <w:t xml:space="preserve"> zwar den Regulieru</w:t>
      </w:r>
      <w:r w:rsidR="007B5951">
        <w:rPr>
          <w:rFonts w:eastAsia="Times New Roman"/>
          <w:szCs w:val="24"/>
        </w:rPr>
        <w:t xml:space="preserve">ngszielen nicht entgegen, trug </w:t>
      </w:r>
      <w:r>
        <w:rPr>
          <w:rFonts w:eastAsia="Times New Roman"/>
          <w:szCs w:val="24"/>
        </w:rPr>
        <w:t xml:space="preserve">aber auch nichts zu deren aktiven Verwirklichung bei. </w:t>
      </w:r>
      <w:r w:rsidR="00220A8F">
        <w:rPr>
          <w:rFonts w:eastAsia="Times New Roman"/>
          <w:szCs w:val="24"/>
        </w:rPr>
        <w:t>Im Hinblick auf die aus europäischer Perspektive erwarteten Beiträge des Smart Metering zum Klimaschutz und d</w:t>
      </w:r>
      <w:r w:rsidR="005C6E83">
        <w:rPr>
          <w:rFonts w:eastAsia="Times New Roman"/>
          <w:szCs w:val="24"/>
        </w:rPr>
        <w:t>er</w:t>
      </w:r>
      <w:r w:rsidR="00220A8F">
        <w:rPr>
          <w:rFonts w:eastAsia="Times New Roman"/>
          <w:szCs w:val="24"/>
        </w:rPr>
        <w:t xml:space="preserve"> damit erstrebte</w:t>
      </w:r>
      <w:r w:rsidR="00BC0B7C">
        <w:rPr>
          <w:rFonts w:eastAsia="Times New Roman"/>
          <w:szCs w:val="24"/>
        </w:rPr>
        <w:t>n Innovationso</w:t>
      </w:r>
      <w:r w:rsidR="00BC0B7C">
        <w:rPr>
          <w:rFonts w:eastAsia="Times New Roman"/>
          <w:szCs w:val="24"/>
        </w:rPr>
        <w:t>f</w:t>
      </w:r>
      <w:r w:rsidR="00BC0B7C">
        <w:rPr>
          <w:rFonts w:eastAsia="Times New Roman"/>
          <w:szCs w:val="24"/>
        </w:rPr>
        <w:t xml:space="preserve">fenheit für </w:t>
      </w:r>
      <w:r w:rsidR="00220A8F">
        <w:rPr>
          <w:rFonts w:eastAsia="Times New Roman"/>
          <w:szCs w:val="24"/>
        </w:rPr>
        <w:t>neue Effizi</w:t>
      </w:r>
      <w:r w:rsidR="00BC0B7C">
        <w:rPr>
          <w:rFonts w:eastAsia="Times New Roman"/>
          <w:szCs w:val="24"/>
        </w:rPr>
        <w:t xml:space="preserve">enzdienste </w:t>
      </w:r>
      <w:r w:rsidR="00220A8F">
        <w:rPr>
          <w:rFonts w:eastAsia="Times New Roman"/>
          <w:szCs w:val="24"/>
        </w:rPr>
        <w:t>wird deutlich, dass der legislative Fokus hier zentral auf die Sicherung der informationellen Selbstbestimmung gelegt wurde, und nicht der Versuch einer wechselseitigen Optimierung von Kl</w:t>
      </w:r>
      <w:r w:rsidR="00220A8F">
        <w:rPr>
          <w:rFonts w:eastAsia="Times New Roman"/>
          <w:szCs w:val="24"/>
        </w:rPr>
        <w:t>i</w:t>
      </w:r>
      <w:r w:rsidR="00220A8F">
        <w:rPr>
          <w:rFonts w:eastAsia="Times New Roman"/>
          <w:szCs w:val="24"/>
        </w:rPr>
        <w:t xml:space="preserve">maschutzbelangen und Datenschutz den </w:t>
      </w:r>
      <w:r w:rsidR="00581220">
        <w:rPr>
          <w:rFonts w:eastAsia="Times New Roman"/>
          <w:szCs w:val="24"/>
        </w:rPr>
        <w:t xml:space="preserve">legislativen </w:t>
      </w:r>
      <w:r w:rsidR="00220A8F">
        <w:rPr>
          <w:rFonts w:eastAsia="Times New Roman"/>
          <w:szCs w:val="24"/>
        </w:rPr>
        <w:t>Motiven zugrunde lag.</w:t>
      </w:r>
      <w:r w:rsidR="00581220">
        <w:rPr>
          <w:rFonts w:eastAsia="Times New Roman"/>
          <w:szCs w:val="24"/>
        </w:rPr>
        <w:t xml:space="preserve"> Denn die Einwilligung </w:t>
      </w:r>
      <w:r w:rsidR="005C6E83">
        <w:rPr>
          <w:rFonts w:eastAsia="Times New Roman"/>
          <w:szCs w:val="24"/>
        </w:rPr>
        <w:t xml:space="preserve">kann in diesem Rahmen </w:t>
      </w:r>
      <w:r w:rsidR="00581220">
        <w:rPr>
          <w:rFonts w:eastAsia="Times New Roman"/>
          <w:szCs w:val="24"/>
        </w:rPr>
        <w:t>grundsätzlich auch als Au</w:t>
      </w:r>
      <w:r w:rsidR="00581220">
        <w:rPr>
          <w:rFonts w:eastAsia="Times New Roman"/>
          <w:szCs w:val="24"/>
        </w:rPr>
        <w:t>s</w:t>
      </w:r>
      <w:r w:rsidR="00581220">
        <w:rPr>
          <w:rFonts w:eastAsia="Times New Roman"/>
          <w:szCs w:val="24"/>
        </w:rPr>
        <w:t xml:space="preserve">druck von Selbstbestimmung </w:t>
      </w:r>
      <w:r w:rsidR="005C6E83">
        <w:rPr>
          <w:rFonts w:eastAsia="Times New Roman"/>
          <w:szCs w:val="24"/>
        </w:rPr>
        <w:t>gesehen werden</w:t>
      </w:r>
      <w:r w:rsidR="00581220">
        <w:rPr>
          <w:rFonts w:eastAsia="Times New Roman"/>
          <w:szCs w:val="24"/>
        </w:rPr>
        <w:t>.</w:t>
      </w:r>
    </w:p>
    <w:p w:rsidR="007B295A" w:rsidRDefault="007B295A" w:rsidP="00F30386">
      <w:pPr>
        <w:pStyle w:val="berschrift5"/>
        <w:ind w:left="822" w:hanging="567"/>
      </w:pPr>
      <w:bookmarkStart w:id="42" w:name="_Toc490827360"/>
      <w:r>
        <w:t>Fehlende Öffnung für weitergehende Zwecke</w:t>
      </w:r>
      <w:bookmarkEnd w:id="42"/>
    </w:p>
    <w:p w:rsidR="007B295A" w:rsidRPr="007E1FFF" w:rsidRDefault="007B295A" w:rsidP="006E7507">
      <w:r>
        <w:t>Thematisch eng mit der fehlenden Einw</w:t>
      </w:r>
      <w:r w:rsidR="007B5951">
        <w:t>illigungsregelung verbunden, war</w:t>
      </w:r>
      <w:r>
        <w:t xml:space="preserve"> aufgrund der oben beschriebenen vom Gesetzgeber gewollten Ausschlie</w:t>
      </w:r>
      <w:r>
        <w:t>ß</w:t>
      </w:r>
      <w:r>
        <w:t xml:space="preserve">lichkeit der in § 21 g EnWG </w:t>
      </w:r>
      <w:r w:rsidR="00581220">
        <w:t xml:space="preserve">enumerativ als zulässig </w:t>
      </w:r>
      <w:r>
        <w:t xml:space="preserve">normierten Zwecke, die fehlende Öffnung der </w:t>
      </w:r>
      <w:r w:rsidR="00581220">
        <w:t xml:space="preserve">klassischen </w:t>
      </w:r>
      <w:r>
        <w:t>bestehenden Zwecke</w:t>
      </w:r>
      <w:r w:rsidR="00BC0B7C">
        <w:t xml:space="preserve"> einer </w:t>
      </w:r>
      <w:r w:rsidR="00581220">
        <w:t>Datenverwe</w:t>
      </w:r>
      <w:r w:rsidR="00581220">
        <w:t>n</w:t>
      </w:r>
      <w:r w:rsidR="00581220">
        <w:t>dung</w:t>
      </w:r>
      <w:r>
        <w:t xml:space="preserve"> für neue innovative Energieeffizienz</w:t>
      </w:r>
      <w:r w:rsidR="00BC0B7C">
        <w:t>dienstleistungen</w:t>
      </w:r>
      <w:r w:rsidR="007B5951">
        <w:t>. Als Erlaubni</w:t>
      </w:r>
      <w:r w:rsidR="007B5951">
        <w:t>s</w:t>
      </w:r>
      <w:r w:rsidR="007B5951">
        <w:t>tatbestände wu</w:t>
      </w:r>
      <w:r w:rsidR="009442B5">
        <w:t>rden in § 21</w:t>
      </w:r>
      <w:r>
        <w:t>g EnWG</w:t>
      </w:r>
      <w:r w:rsidR="00581220">
        <w:t xml:space="preserve"> </w:t>
      </w:r>
      <w:r>
        <w:t>lediglich die in</w:t>
      </w:r>
      <w:r w:rsidRPr="005D743F">
        <w:t xml:space="preserve"> Nr.1 bis 8 aufgeführten Zwecke</w:t>
      </w:r>
      <w:r>
        <w:t xml:space="preserve"> genannt. Das damit eingebrachte </w:t>
      </w:r>
      <w:r w:rsidR="009442B5">
        <w:t>datenschutzrechtliche</w:t>
      </w:r>
      <w:r w:rsidRPr="005D743F">
        <w:t xml:space="preserve"> Grundpri</w:t>
      </w:r>
      <w:r w:rsidRPr="005D743F">
        <w:t>n</w:t>
      </w:r>
      <w:r w:rsidRPr="005D743F">
        <w:t xml:space="preserve">zip </w:t>
      </w:r>
      <w:r>
        <w:t xml:space="preserve">der </w:t>
      </w:r>
      <w:r w:rsidRPr="005D743F">
        <w:rPr>
          <w:b/>
        </w:rPr>
        <w:t>Zweckbindung</w:t>
      </w:r>
      <w:r w:rsidRPr="005D743F">
        <w:t xml:space="preserve"> von Datenverwendungen </w:t>
      </w:r>
      <w:r w:rsidR="00436190">
        <w:t xml:space="preserve">stellte </w:t>
      </w:r>
      <w:r w:rsidRPr="005D743F">
        <w:t>ein tragendes El</w:t>
      </w:r>
      <w:r w:rsidRPr="005D743F">
        <w:t>e</w:t>
      </w:r>
      <w:r w:rsidRPr="005D743F">
        <w:lastRenderedPageBreak/>
        <w:t>ment für die Sicherung der Grundrechtsausübung</w:t>
      </w:r>
      <w:r w:rsidR="00436190">
        <w:t xml:space="preserve"> dar</w:t>
      </w:r>
      <w:r w:rsidRPr="005D743F">
        <w:t xml:space="preserve">. </w:t>
      </w:r>
      <w:r w:rsidRPr="00436190">
        <w:rPr>
          <w:i/>
        </w:rPr>
        <w:t xml:space="preserve">„Erst wenn Klarheit darüber besteht, zu welchem Zweck Angaben verlangt werden (…), lässt </w:t>
      </w:r>
      <w:r w:rsidRPr="00021DBF">
        <w:rPr>
          <w:i/>
          <w:w w:val="99"/>
        </w:rPr>
        <w:t>sich die Frage einer zulässigen Beschränkung des Rechts auf informationelle</w:t>
      </w:r>
      <w:r w:rsidRPr="00436190">
        <w:rPr>
          <w:i/>
        </w:rPr>
        <w:t xml:space="preserve"> Selbstbestimmung beantworten</w:t>
      </w:r>
      <w:r w:rsidRPr="005D743F">
        <w:t>.“</w:t>
      </w:r>
      <w:r w:rsidRPr="005D743F">
        <w:rPr>
          <w:vertAlign w:val="superscript"/>
        </w:rPr>
        <w:footnoteReference w:id="38"/>
      </w:r>
      <w:r w:rsidRPr="005D743F">
        <w:t xml:space="preserve"> Auch Art. 6 Abs. 1 lit. b der Date</w:t>
      </w:r>
      <w:r w:rsidRPr="005D743F">
        <w:t>n</w:t>
      </w:r>
      <w:r w:rsidRPr="005D743F">
        <w:t>schutzrichtlinie (RL 95/46/EG) bestimmt, dass die mit der Datenverarbe</w:t>
      </w:r>
      <w:r w:rsidRPr="005D743F">
        <w:t>i</w:t>
      </w:r>
      <w:r w:rsidRPr="005D743F">
        <w:t>tung verfolgten Zwecke festgelegt, eindeutig und rechtmäßig sein müssen. Das Prinzip dient nicht nur dazu</w:t>
      </w:r>
      <w:r w:rsidR="00BC0B7C">
        <w:t>,</w:t>
      </w:r>
      <w:r w:rsidRPr="005D743F">
        <w:t xml:space="preserve"> dem Betroffenen das notwendige Wissen zu vermitteln, zu welchen konkreten Zwecken seine Daten verwendet we</w:t>
      </w:r>
      <w:r w:rsidRPr="005D743F">
        <w:t>r</w:t>
      </w:r>
      <w:r w:rsidRPr="005D743F">
        <w:t>den, sondern es werden auch die verantwortlichen Stellen gezwungen</w:t>
      </w:r>
      <w:r w:rsidR="00BC0B7C">
        <w:t>, die Daten zum e</w:t>
      </w:r>
      <w:r w:rsidRPr="005D743F">
        <w:t>inen nur zu den vorgesehenen Zwe</w:t>
      </w:r>
      <w:r w:rsidR="00BC0B7C">
        <w:t>cken zu erheben und zum a</w:t>
      </w:r>
      <w:r w:rsidRPr="005D743F">
        <w:t>nderen diese auch lediglich zu den Zwecken weiterzuverarbeiten.</w:t>
      </w:r>
      <w:r w:rsidRPr="005D743F">
        <w:rPr>
          <w:vertAlign w:val="superscript"/>
        </w:rPr>
        <w:footnoteReference w:id="39"/>
      </w:r>
      <w:r w:rsidRPr="005D743F">
        <w:t xml:space="preserve"> Die </w:t>
      </w:r>
      <w:r w:rsidR="00BC0B7C">
        <w:t xml:space="preserve">in </w:t>
      </w:r>
      <w:r w:rsidRPr="005D743F">
        <w:t>§</w:t>
      </w:r>
      <w:r w:rsidR="00021DBF">
        <w:t> </w:t>
      </w:r>
      <w:r w:rsidRPr="005D743F">
        <w:t xml:space="preserve">21g </w:t>
      </w:r>
      <w:r w:rsidR="00436190">
        <w:t>Abs. 1 aufgezählten Zwecke hatten</w:t>
      </w:r>
      <w:r w:rsidRPr="005D743F">
        <w:t xml:space="preserve"> </w:t>
      </w:r>
      <w:r w:rsidRPr="005D743F">
        <w:rPr>
          <w:b/>
        </w:rPr>
        <w:t>abschließenden Charakter</w:t>
      </w:r>
      <w:r w:rsidR="00BC0B7C">
        <w:rPr>
          <w:b/>
        </w:rPr>
        <w:t>,</w:t>
      </w:r>
      <w:r w:rsidR="007C51A5">
        <w:rPr>
          <w:rStyle w:val="Funotenzeichen"/>
          <w:b/>
        </w:rPr>
        <w:footnoteReference w:id="40"/>
      </w:r>
      <w:r w:rsidRPr="005D743F">
        <w:t xml:space="preserve"> was durch die Ges</w:t>
      </w:r>
      <w:r w:rsidR="00436190">
        <w:t>etzesbegründung hervorgehoben wu</w:t>
      </w:r>
      <w:r w:rsidRPr="005D743F">
        <w:t>rd</w:t>
      </w:r>
      <w:r w:rsidR="00436190">
        <w:t>e</w:t>
      </w:r>
      <w:r w:rsidRPr="005D743F">
        <w:t>.</w:t>
      </w:r>
      <w:r w:rsidRPr="005D743F">
        <w:rPr>
          <w:vertAlign w:val="superscript"/>
        </w:rPr>
        <w:footnoteReference w:id="41"/>
      </w:r>
      <w:r w:rsidRPr="005D743F">
        <w:t xml:space="preserve"> Aufgrund der </w:t>
      </w:r>
      <w:r w:rsidRPr="00021DBF">
        <w:rPr>
          <w:w w:val="99"/>
        </w:rPr>
        <w:t>im EnWG</w:t>
      </w:r>
      <w:r w:rsidR="00581220" w:rsidRPr="00021DBF">
        <w:rPr>
          <w:w w:val="99"/>
        </w:rPr>
        <w:t xml:space="preserve"> </w:t>
      </w:r>
      <w:r w:rsidRPr="00021DBF">
        <w:rPr>
          <w:w w:val="99"/>
        </w:rPr>
        <w:t xml:space="preserve">verankerten strengen </w:t>
      </w:r>
      <w:r w:rsidR="00436190" w:rsidRPr="00021DBF">
        <w:rPr>
          <w:w w:val="99"/>
        </w:rPr>
        <w:t>Begrenzung der Zwecke</w:t>
      </w:r>
      <w:r w:rsidR="00BC0B7C" w:rsidRPr="00021DBF">
        <w:rPr>
          <w:w w:val="99"/>
        </w:rPr>
        <w:t>,</w:t>
      </w:r>
      <w:r w:rsidR="00436190" w:rsidRPr="00021DBF">
        <w:rPr>
          <w:w w:val="99"/>
        </w:rPr>
        <w:t xml:space="preserve"> bestand </w:t>
      </w:r>
      <w:r w:rsidR="00581220" w:rsidRPr="00021DBF">
        <w:rPr>
          <w:w w:val="99"/>
        </w:rPr>
        <w:t xml:space="preserve">auch </w:t>
      </w:r>
      <w:r w:rsidRPr="00021DBF">
        <w:rPr>
          <w:w w:val="99"/>
        </w:rPr>
        <w:t>keine</w:t>
      </w:r>
      <w:r w:rsidRPr="005D743F">
        <w:t xml:space="preserve"> Möglichkeit</w:t>
      </w:r>
      <w:r w:rsidR="00BC0B7C">
        <w:t>,</w:t>
      </w:r>
      <w:r w:rsidRPr="005D743F">
        <w:t xml:space="preserve"> über die Verordnungsermächtigung des § 21i Abs. 1 Nr. 4 </w:t>
      </w:r>
      <w:r w:rsidR="009177DB">
        <w:t xml:space="preserve">EnWG </w:t>
      </w:r>
      <w:r w:rsidRPr="005D743F">
        <w:t>weitere Zweckfestlegungen einzuführen, welche durch erst zukünftig ersichtliche Zwecke der Datenverwendung aus Gründen der Energieef</w:t>
      </w:r>
      <w:r w:rsidR="007E1FFF">
        <w:t>fiz</w:t>
      </w:r>
      <w:r w:rsidR="007E1FFF">
        <w:t>i</w:t>
      </w:r>
      <w:r w:rsidR="007E1FFF">
        <w:t xml:space="preserve">enz motiviert sein können. </w:t>
      </w:r>
    </w:p>
    <w:p w:rsidR="007B295A" w:rsidRDefault="007B295A" w:rsidP="00B10FE7">
      <w:pPr>
        <w:rPr>
          <w:rFonts w:eastAsia="Times New Roman"/>
          <w:szCs w:val="24"/>
        </w:rPr>
      </w:pPr>
      <w:r w:rsidRPr="007B295A">
        <w:rPr>
          <w:rFonts w:eastAsia="Times New Roman"/>
          <w:szCs w:val="24"/>
        </w:rPr>
        <w:t>Die Konzeption des damaligen gesetzlichen Rahmens zeigt, dass im legisl</w:t>
      </w:r>
      <w:r w:rsidRPr="007B295A">
        <w:rPr>
          <w:rFonts w:eastAsia="Times New Roman"/>
          <w:szCs w:val="24"/>
        </w:rPr>
        <w:t>a</w:t>
      </w:r>
      <w:r w:rsidRPr="007B295A">
        <w:rPr>
          <w:rFonts w:eastAsia="Times New Roman"/>
          <w:szCs w:val="24"/>
        </w:rPr>
        <w:t>tiven Entscheidungsprozess eine Fokussierung auf den Schutz der infor</w:t>
      </w:r>
      <w:r w:rsidR="00021DBF">
        <w:rPr>
          <w:rFonts w:eastAsia="Times New Roman"/>
          <w:szCs w:val="24"/>
        </w:rPr>
        <w:softHyphen/>
      </w:r>
      <w:r w:rsidRPr="007B295A">
        <w:rPr>
          <w:rFonts w:eastAsia="Times New Roman"/>
          <w:szCs w:val="24"/>
        </w:rPr>
        <w:t xml:space="preserve">mationellen Selbstbestimmung derart angelegt war, dass die Lösung des Zielkonfliktes nicht </w:t>
      </w:r>
      <w:r w:rsidR="007E1FFF">
        <w:rPr>
          <w:rFonts w:eastAsia="Times New Roman"/>
          <w:szCs w:val="24"/>
        </w:rPr>
        <w:t xml:space="preserve">mit </w:t>
      </w:r>
      <w:r w:rsidRPr="007B295A">
        <w:rPr>
          <w:rFonts w:eastAsia="Times New Roman"/>
          <w:szCs w:val="24"/>
        </w:rPr>
        <w:t>den europäisch motivierten Zielvorgaben korre</w:t>
      </w:r>
      <w:r w:rsidRPr="007B295A">
        <w:rPr>
          <w:rFonts w:eastAsia="Times New Roman"/>
          <w:szCs w:val="24"/>
        </w:rPr>
        <w:t>s</w:t>
      </w:r>
      <w:r w:rsidRPr="007B295A">
        <w:rPr>
          <w:rFonts w:eastAsia="Times New Roman"/>
          <w:szCs w:val="24"/>
        </w:rPr>
        <w:lastRenderedPageBreak/>
        <w:t>pondierte. In e</w:t>
      </w:r>
      <w:r w:rsidR="00436190">
        <w:rPr>
          <w:rFonts w:eastAsia="Times New Roman"/>
          <w:szCs w:val="24"/>
        </w:rPr>
        <w:t>iner Kategorisierung wäre dieses</w:t>
      </w:r>
      <w:r w:rsidRPr="007B295A">
        <w:rPr>
          <w:rFonts w:eastAsia="Times New Roman"/>
          <w:szCs w:val="24"/>
        </w:rPr>
        <w:t xml:space="preserve"> Defizit in dem hier</w:t>
      </w:r>
      <w:r w:rsidR="00441938">
        <w:rPr>
          <w:rFonts w:eastAsia="Times New Roman"/>
          <w:szCs w:val="24"/>
        </w:rPr>
        <w:t xml:space="preserve"> zuvor </w:t>
      </w:r>
      <w:r w:rsidRPr="007B295A">
        <w:rPr>
          <w:rFonts w:eastAsia="Times New Roman"/>
          <w:szCs w:val="24"/>
        </w:rPr>
        <w:t xml:space="preserve">entwickelten Wissensmodell </w:t>
      </w:r>
      <w:r w:rsidR="00441938">
        <w:rPr>
          <w:rFonts w:eastAsia="Times New Roman"/>
          <w:szCs w:val="24"/>
        </w:rPr>
        <w:t xml:space="preserve">den </w:t>
      </w:r>
      <w:r w:rsidRPr="005C6E83">
        <w:rPr>
          <w:rFonts w:eastAsia="Times New Roman"/>
          <w:b/>
          <w:i/>
          <w:szCs w:val="24"/>
        </w:rPr>
        <w:t xml:space="preserve">Defiziten </w:t>
      </w:r>
      <w:r w:rsidR="00441938" w:rsidRPr="005C6E83">
        <w:rPr>
          <w:rFonts w:eastAsia="Times New Roman"/>
          <w:b/>
          <w:i/>
          <w:szCs w:val="24"/>
        </w:rPr>
        <w:t>im Rahmen des Normwissens</w:t>
      </w:r>
      <w:r w:rsidR="00441938">
        <w:rPr>
          <w:rFonts w:eastAsia="Times New Roman"/>
          <w:szCs w:val="24"/>
        </w:rPr>
        <w:t xml:space="preserve"> zuzuordnen. Diesbezüglich </w:t>
      </w:r>
      <w:r w:rsidR="00436190">
        <w:rPr>
          <w:rFonts w:eastAsia="Times New Roman"/>
          <w:szCs w:val="24"/>
        </w:rPr>
        <w:t xml:space="preserve">kann jedoch nicht auf </w:t>
      </w:r>
      <w:r w:rsidR="00441938">
        <w:rPr>
          <w:rFonts w:eastAsia="Times New Roman"/>
          <w:szCs w:val="24"/>
        </w:rPr>
        <w:t>Lösungsansätze der Wi</w:t>
      </w:r>
      <w:r w:rsidR="00441938">
        <w:rPr>
          <w:rFonts w:eastAsia="Times New Roman"/>
          <w:szCs w:val="24"/>
        </w:rPr>
        <w:t>s</w:t>
      </w:r>
      <w:r w:rsidR="00441938">
        <w:rPr>
          <w:rFonts w:eastAsia="Times New Roman"/>
          <w:szCs w:val="24"/>
        </w:rPr>
        <w:t>sensgenerie</w:t>
      </w:r>
      <w:r w:rsidR="00BC0B7C">
        <w:rPr>
          <w:rFonts w:eastAsia="Times New Roman"/>
          <w:szCs w:val="24"/>
        </w:rPr>
        <w:t xml:space="preserve">rung im Verwaltungsrecht </w:t>
      </w:r>
      <w:r w:rsidR="00441938">
        <w:rPr>
          <w:rFonts w:eastAsia="Times New Roman"/>
          <w:szCs w:val="24"/>
        </w:rPr>
        <w:t xml:space="preserve">hinsichtlich des für die </w:t>
      </w:r>
      <w:proofErr w:type="gramStart"/>
      <w:r w:rsidRPr="007B295A">
        <w:rPr>
          <w:rFonts w:eastAsia="Times New Roman"/>
          <w:i/>
          <w:szCs w:val="24"/>
        </w:rPr>
        <w:t>normativen</w:t>
      </w:r>
      <w:proofErr w:type="gramEnd"/>
      <w:r w:rsidRPr="007B295A">
        <w:rPr>
          <w:rFonts w:eastAsia="Times New Roman"/>
          <w:i/>
          <w:szCs w:val="24"/>
        </w:rPr>
        <w:t xml:space="preserve"> Wissensebene</w:t>
      </w:r>
      <w:r w:rsidRPr="007B295A">
        <w:rPr>
          <w:rFonts w:eastAsia="Times New Roman"/>
          <w:szCs w:val="24"/>
        </w:rPr>
        <w:t xml:space="preserve"> </w:t>
      </w:r>
      <w:r w:rsidR="00441938">
        <w:rPr>
          <w:rFonts w:eastAsia="Times New Roman"/>
          <w:szCs w:val="24"/>
        </w:rPr>
        <w:t>erforderlichen Sach- und Erfahrungswissens zurückgegriffen werden. Eine Lösung muss daher in der weiteren Bearbeitung im Rahmen von fehlerhaftem Regulierungswissen und damit auch bei den regulierung</w:t>
      </w:r>
      <w:r w:rsidR="00441938">
        <w:rPr>
          <w:rFonts w:eastAsia="Times New Roman"/>
          <w:szCs w:val="24"/>
        </w:rPr>
        <w:t>s</w:t>
      </w:r>
      <w:r w:rsidR="00441938">
        <w:rPr>
          <w:rFonts w:eastAsia="Times New Roman"/>
          <w:szCs w:val="24"/>
        </w:rPr>
        <w:t>theoretischen Entscheidungen gesucht werden.</w:t>
      </w:r>
      <w:r w:rsidR="006D171B">
        <w:rPr>
          <w:rFonts w:eastAsia="Times New Roman"/>
          <w:szCs w:val="24"/>
        </w:rPr>
        <w:t xml:space="preserve"> </w:t>
      </w:r>
    </w:p>
    <w:p w:rsidR="006F2CBB" w:rsidRDefault="006F2CBB" w:rsidP="00F30386">
      <w:pPr>
        <w:pStyle w:val="berschrift6"/>
      </w:pPr>
      <w:bookmarkStart w:id="43" w:name="_Toc490827361"/>
      <w:r>
        <w:t>Weiterentwicklung</w:t>
      </w:r>
      <w:bookmarkEnd w:id="43"/>
    </w:p>
    <w:p w:rsidR="007B295A" w:rsidRDefault="006F2CBB" w:rsidP="00B10FE7">
      <w:pPr>
        <w:rPr>
          <w:rFonts w:eastAsia="Times New Roman"/>
          <w:szCs w:val="24"/>
        </w:rPr>
      </w:pPr>
      <w:r>
        <w:rPr>
          <w:rFonts w:eastAsia="Times New Roman"/>
          <w:szCs w:val="24"/>
        </w:rPr>
        <w:t>In das MsbG</w:t>
      </w:r>
      <w:r w:rsidR="007E1FFF">
        <w:rPr>
          <w:rFonts w:eastAsia="Times New Roman"/>
          <w:szCs w:val="24"/>
        </w:rPr>
        <w:t xml:space="preserve"> -</w:t>
      </w:r>
      <w:r>
        <w:rPr>
          <w:rFonts w:eastAsia="Times New Roman"/>
          <w:szCs w:val="24"/>
        </w:rPr>
        <w:t xml:space="preserve"> in welches </w:t>
      </w:r>
      <w:r w:rsidR="007E1FFF">
        <w:rPr>
          <w:rFonts w:eastAsia="Times New Roman"/>
          <w:szCs w:val="24"/>
        </w:rPr>
        <w:t xml:space="preserve">eine Verlagerung der </w:t>
      </w:r>
      <w:r>
        <w:rPr>
          <w:rFonts w:eastAsia="Times New Roman"/>
          <w:szCs w:val="24"/>
        </w:rPr>
        <w:t xml:space="preserve">datenschutzrechtlichen Komponenten des EnWG </w:t>
      </w:r>
      <w:r w:rsidR="007E1FFF">
        <w:rPr>
          <w:rFonts w:eastAsia="Times New Roman"/>
          <w:szCs w:val="24"/>
        </w:rPr>
        <w:t xml:space="preserve">erfolgte - </w:t>
      </w:r>
      <w:r>
        <w:rPr>
          <w:rFonts w:eastAsia="Times New Roman"/>
          <w:szCs w:val="24"/>
        </w:rPr>
        <w:t>wurde</w:t>
      </w:r>
      <w:r w:rsidR="007B295A">
        <w:rPr>
          <w:rFonts w:eastAsia="Times New Roman"/>
          <w:szCs w:val="24"/>
        </w:rPr>
        <w:t xml:space="preserve"> </w:t>
      </w:r>
      <w:r w:rsidR="00436190">
        <w:rPr>
          <w:rFonts w:eastAsia="Times New Roman"/>
          <w:szCs w:val="24"/>
        </w:rPr>
        <w:t xml:space="preserve">mit § 50 Abs. 1 </w:t>
      </w:r>
      <w:r w:rsidR="007E1FFF">
        <w:rPr>
          <w:rFonts w:eastAsia="Times New Roman"/>
          <w:szCs w:val="24"/>
        </w:rPr>
        <w:t xml:space="preserve">MsbG </w:t>
      </w:r>
      <w:r w:rsidR="007B295A">
        <w:rPr>
          <w:rFonts w:eastAsia="Times New Roman"/>
          <w:szCs w:val="24"/>
        </w:rPr>
        <w:t>nunmehr</w:t>
      </w:r>
      <w:r>
        <w:rPr>
          <w:rFonts w:eastAsia="Times New Roman"/>
          <w:szCs w:val="24"/>
        </w:rPr>
        <w:t xml:space="preserve"> eine explizite Regelung der Einwilligung eingeführt.</w:t>
      </w:r>
      <w:r w:rsidR="007B295A">
        <w:rPr>
          <w:rFonts w:eastAsia="Times New Roman"/>
          <w:szCs w:val="24"/>
        </w:rPr>
        <w:t xml:space="preserve"> </w:t>
      </w:r>
      <w:r w:rsidR="007E1FFF">
        <w:rPr>
          <w:rFonts w:eastAsia="Times New Roman"/>
          <w:szCs w:val="24"/>
        </w:rPr>
        <w:t xml:space="preserve">Des Weiteren wurde </w:t>
      </w:r>
      <w:r w:rsidR="00C349DC" w:rsidRPr="00C349DC">
        <w:rPr>
          <w:rFonts w:eastAsia="Times New Roman"/>
          <w:szCs w:val="24"/>
        </w:rPr>
        <w:t>zwar die strenge Zweckbindung durch die Beibehaltung der Regelung a</w:t>
      </w:r>
      <w:r w:rsidR="00C349DC" w:rsidRPr="00C349DC">
        <w:rPr>
          <w:rFonts w:eastAsia="Times New Roman"/>
          <w:szCs w:val="24"/>
        </w:rPr>
        <w:t>b</w:t>
      </w:r>
      <w:r w:rsidR="00C349DC" w:rsidRPr="00C349DC">
        <w:rPr>
          <w:rFonts w:eastAsia="Times New Roman"/>
          <w:szCs w:val="24"/>
        </w:rPr>
        <w:t>sch</w:t>
      </w:r>
      <w:r w:rsidR="007E1FFF">
        <w:rPr>
          <w:rFonts w:eastAsia="Times New Roman"/>
          <w:szCs w:val="24"/>
        </w:rPr>
        <w:t xml:space="preserve">ließend zu verstehender Zwecke in das MsbG </w:t>
      </w:r>
      <w:r w:rsidR="00C349DC" w:rsidRPr="00C349DC">
        <w:rPr>
          <w:rFonts w:eastAsia="Times New Roman"/>
          <w:szCs w:val="24"/>
        </w:rPr>
        <w:t xml:space="preserve">übernommen, allerdings </w:t>
      </w:r>
      <w:r w:rsidR="00C349DC">
        <w:rPr>
          <w:rFonts w:eastAsia="Times New Roman"/>
          <w:szCs w:val="24"/>
        </w:rPr>
        <w:t>werden</w:t>
      </w:r>
      <w:r w:rsidR="00C349DC" w:rsidRPr="00C349DC">
        <w:rPr>
          <w:rFonts w:eastAsia="Times New Roman"/>
          <w:szCs w:val="24"/>
        </w:rPr>
        <w:t xml:space="preserve"> nun </w:t>
      </w:r>
      <w:r w:rsidR="00436190">
        <w:rPr>
          <w:rFonts w:eastAsia="Times New Roman"/>
          <w:szCs w:val="24"/>
        </w:rPr>
        <w:t xml:space="preserve">in § 50 Abs. 2 Nr. 13 MsbG </w:t>
      </w:r>
      <w:r w:rsidR="00C349DC" w:rsidRPr="00C349DC">
        <w:rPr>
          <w:rFonts w:eastAsia="Times New Roman"/>
          <w:szCs w:val="24"/>
        </w:rPr>
        <w:t xml:space="preserve">auch </w:t>
      </w:r>
      <w:r w:rsidR="0042098B">
        <w:rPr>
          <w:rFonts w:eastAsia="Times New Roman"/>
          <w:szCs w:val="24"/>
        </w:rPr>
        <w:t>(Effizienz-)</w:t>
      </w:r>
      <w:r w:rsidR="00C349DC" w:rsidRPr="00C349DC">
        <w:rPr>
          <w:rFonts w:eastAsia="Times New Roman"/>
          <w:szCs w:val="24"/>
        </w:rPr>
        <w:t>Mehrwertdienste berücksichtigt</w:t>
      </w:r>
      <w:r w:rsidR="007E1FFF">
        <w:rPr>
          <w:rFonts w:eastAsia="Times New Roman"/>
          <w:szCs w:val="24"/>
        </w:rPr>
        <w:t>.</w:t>
      </w:r>
      <w:r w:rsidR="00581220">
        <w:rPr>
          <w:rFonts w:eastAsia="Times New Roman"/>
          <w:szCs w:val="24"/>
        </w:rPr>
        <w:t xml:space="preserve"> </w:t>
      </w:r>
      <w:r w:rsidR="003F7FF9">
        <w:rPr>
          <w:rFonts w:eastAsia="Times New Roman"/>
          <w:szCs w:val="24"/>
        </w:rPr>
        <w:t xml:space="preserve">Damit </w:t>
      </w:r>
      <w:r w:rsidR="00581220">
        <w:rPr>
          <w:rFonts w:eastAsia="Times New Roman"/>
          <w:szCs w:val="24"/>
        </w:rPr>
        <w:t xml:space="preserve">ist grundsätzlich auch von einem </w:t>
      </w:r>
      <w:r w:rsidR="00581220" w:rsidRPr="003F7FF9">
        <w:rPr>
          <w:rFonts w:eastAsia="Times New Roman"/>
          <w:b/>
          <w:i/>
          <w:szCs w:val="24"/>
        </w:rPr>
        <w:t>legislativen Ler</w:t>
      </w:r>
      <w:r w:rsidR="00581220" w:rsidRPr="003F7FF9">
        <w:rPr>
          <w:rFonts w:eastAsia="Times New Roman"/>
          <w:b/>
          <w:i/>
          <w:szCs w:val="24"/>
        </w:rPr>
        <w:t>n</w:t>
      </w:r>
      <w:r w:rsidR="00581220" w:rsidRPr="003F7FF9">
        <w:rPr>
          <w:rFonts w:eastAsia="Times New Roman"/>
          <w:b/>
          <w:i/>
          <w:szCs w:val="24"/>
        </w:rPr>
        <w:t>prozess</w:t>
      </w:r>
      <w:r w:rsidR="00581220">
        <w:rPr>
          <w:rFonts w:eastAsia="Times New Roman"/>
          <w:szCs w:val="24"/>
        </w:rPr>
        <w:t xml:space="preserve"> auszugehen.</w:t>
      </w:r>
    </w:p>
    <w:p w:rsidR="006F2CBB" w:rsidRPr="00F375E8" w:rsidRDefault="006F2CBB" w:rsidP="00F30386">
      <w:pPr>
        <w:pStyle w:val="berschrift6"/>
      </w:pPr>
      <w:bookmarkStart w:id="44" w:name="_Ref467595470"/>
      <w:bookmarkStart w:id="45" w:name="_Toc490827362"/>
      <w:r>
        <w:t>Bewertung</w:t>
      </w:r>
      <w:bookmarkEnd w:id="44"/>
      <w:bookmarkEnd w:id="45"/>
    </w:p>
    <w:p w:rsidR="006F2CBB" w:rsidRDefault="00BC0B7C" w:rsidP="006E7507">
      <w:r>
        <w:t>Im Hinblick auf den</w:t>
      </w:r>
      <w:r w:rsidR="006F2CBB">
        <w:t xml:space="preserve"> im Gesetz ebenfalls als Ziel intendierte</w:t>
      </w:r>
      <w:r>
        <w:t>n Klimaschutz</w:t>
      </w:r>
      <w:r w:rsidR="006F2CBB">
        <w:t xml:space="preserve"> und die auch nach der sogenannten „Energiewende“ notwendige Verso</w:t>
      </w:r>
      <w:r w:rsidR="006F2CBB">
        <w:t>r</w:t>
      </w:r>
      <w:r w:rsidR="006F2CBB">
        <w:t xml:space="preserve">gungssicherheit im Energiesystem </w:t>
      </w:r>
      <w:r w:rsidR="007B295A">
        <w:t>war</w:t>
      </w:r>
      <w:r w:rsidR="006F2CBB">
        <w:t xml:space="preserve"> die abschließende Beschränkung der zulässigen Zwecke auf die heute bekannten Prozesse und Datenverwendu</w:t>
      </w:r>
      <w:r w:rsidR="006F2CBB">
        <w:t>n</w:t>
      </w:r>
      <w:r w:rsidR="006F2CBB">
        <w:t xml:space="preserve">gen ohne die Möglichkeit einer </w:t>
      </w:r>
      <w:r w:rsidR="007B295A">
        <w:t xml:space="preserve">Einwilligung zu kurz gegriffen. </w:t>
      </w:r>
      <w:r w:rsidR="00C349DC">
        <w:t>Ebenso wurde im Hinblick auf die erlaubten Zwecke der Datenverwendung</w:t>
      </w:r>
      <w:r w:rsidR="00C349DC" w:rsidRPr="00C349DC">
        <w:t xml:space="preserve"> das Ziel der Energieeffizienz</w:t>
      </w:r>
      <w:r w:rsidR="00C349DC">
        <w:t>steigerung weitgehend</w:t>
      </w:r>
      <w:r w:rsidR="00C349DC" w:rsidRPr="00C349DC">
        <w:t xml:space="preserve"> außer Acht ge</w:t>
      </w:r>
      <w:r w:rsidR="0042098B">
        <w:t xml:space="preserve">lassen. </w:t>
      </w:r>
      <w:r w:rsidR="007B295A">
        <w:t>Die Einfü</w:t>
      </w:r>
      <w:r w:rsidR="007B295A">
        <w:t>h</w:t>
      </w:r>
      <w:r w:rsidR="007B295A">
        <w:t>rung einer sachlichen Einwilligungslösung</w:t>
      </w:r>
      <w:r w:rsidR="0042098B">
        <w:t xml:space="preserve"> und die Erweiterung der Zwec</w:t>
      </w:r>
      <w:r w:rsidR="0042098B">
        <w:t>k</w:t>
      </w:r>
      <w:r w:rsidR="0042098B">
        <w:t>kataloge zu erlaubten Datenverwendungen auf Effizienz-Mehrwertdienste</w:t>
      </w:r>
      <w:r w:rsidR="007B295A">
        <w:t xml:space="preserve"> </w:t>
      </w:r>
      <w:r w:rsidR="00490AFD">
        <w:t xml:space="preserve">durch das </w:t>
      </w:r>
      <w:r w:rsidR="007B295A">
        <w:t xml:space="preserve">MsbG </w:t>
      </w:r>
      <w:proofErr w:type="gramStart"/>
      <w:r w:rsidR="007B295A" w:rsidRPr="007B295A">
        <w:t>zeigt</w:t>
      </w:r>
      <w:proofErr w:type="gramEnd"/>
      <w:r w:rsidR="007B295A" w:rsidRPr="007B295A">
        <w:t xml:space="preserve"> nachdrücklich, dass der normative Rahmen des Ene</w:t>
      </w:r>
      <w:r w:rsidR="007B295A" w:rsidRPr="007B295A">
        <w:t>r</w:t>
      </w:r>
      <w:r w:rsidR="007B295A" w:rsidRPr="007B295A">
        <w:t>giewirtschaftsrechts grundsätzlich auf einen Lernprozess unter der Bedi</w:t>
      </w:r>
      <w:r w:rsidR="007B295A" w:rsidRPr="007B295A">
        <w:t>n</w:t>
      </w:r>
      <w:r w:rsidR="007B295A" w:rsidRPr="007B295A">
        <w:t xml:space="preserve">gung der Anreicherung von </w:t>
      </w:r>
      <w:r w:rsidR="007B295A" w:rsidRPr="003F7FF9">
        <w:rPr>
          <w:b/>
          <w:i/>
        </w:rPr>
        <w:t>Erfahrungswissen</w:t>
      </w:r>
      <w:r w:rsidR="007B295A" w:rsidRPr="003F7FF9">
        <w:rPr>
          <w:b/>
        </w:rPr>
        <w:t xml:space="preserve"> </w:t>
      </w:r>
      <w:r w:rsidR="007B295A" w:rsidRPr="007B295A">
        <w:t>angelegt ist.</w:t>
      </w:r>
    </w:p>
    <w:p w:rsidR="004F5307" w:rsidRPr="004346BF" w:rsidRDefault="003455EF" w:rsidP="00F30386">
      <w:pPr>
        <w:pStyle w:val="berschrift4"/>
      </w:pPr>
      <w:bookmarkStart w:id="46" w:name="_Toc490827363"/>
      <w:r>
        <w:lastRenderedPageBreak/>
        <w:t xml:space="preserve">Defizitäre </w:t>
      </w:r>
      <w:r w:rsidR="004F5307" w:rsidRPr="004346BF">
        <w:t>Steuerungswirkung</w:t>
      </w:r>
      <w:r>
        <w:t>en</w:t>
      </w:r>
      <w:r w:rsidR="004F5307" w:rsidRPr="004346BF">
        <w:t xml:space="preserve"> d</w:t>
      </w:r>
      <w:r>
        <w:t xml:space="preserve">er bereichsspezifischen Datenschutzregelungen des </w:t>
      </w:r>
      <w:r w:rsidR="004F5307" w:rsidRPr="004346BF">
        <w:t>EnWG</w:t>
      </w:r>
      <w:bookmarkEnd w:id="46"/>
    </w:p>
    <w:p w:rsidR="004F5307" w:rsidRPr="00CC361D" w:rsidRDefault="004C3257" w:rsidP="00B10FE7">
      <w:pPr>
        <w:rPr>
          <w:rFonts w:eastAsia="Times New Roman"/>
          <w:szCs w:val="24"/>
        </w:rPr>
      </w:pPr>
      <w:r>
        <w:rPr>
          <w:rFonts w:eastAsia="Times New Roman"/>
          <w:szCs w:val="24"/>
        </w:rPr>
        <w:t>Wie oben ausgeführt</w:t>
      </w:r>
      <w:r w:rsidR="00BC0B7C">
        <w:rPr>
          <w:rFonts w:eastAsia="Times New Roman"/>
          <w:szCs w:val="24"/>
        </w:rPr>
        <w:t>,</w:t>
      </w:r>
      <w:r>
        <w:rPr>
          <w:rFonts w:eastAsia="Times New Roman"/>
          <w:szCs w:val="24"/>
        </w:rPr>
        <w:t xml:space="preserve"> wird der primär inhaltlich ausgerichteten Gesetzg</w:t>
      </w:r>
      <w:r>
        <w:rPr>
          <w:rFonts w:eastAsia="Times New Roman"/>
          <w:szCs w:val="24"/>
        </w:rPr>
        <w:t>e</w:t>
      </w:r>
      <w:r>
        <w:rPr>
          <w:rFonts w:eastAsia="Times New Roman"/>
          <w:szCs w:val="24"/>
        </w:rPr>
        <w:t>bung in Rechtsgebieten, welche sich durch dynamische und dezentralisierte Wissensgrundlagen auszeichnen</w:t>
      </w:r>
      <w:r w:rsidR="00BC0B7C">
        <w:rPr>
          <w:rFonts w:eastAsia="Times New Roman"/>
          <w:szCs w:val="24"/>
        </w:rPr>
        <w:t>,</w:t>
      </w:r>
      <w:r>
        <w:rPr>
          <w:rFonts w:eastAsia="Times New Roman"/>
          <w:szCs w:val="24"/>
        </w:rPr>
        <w:t xml:space="preserve"> unter anderem eine fehlende oder defizit</w:t>
      </w:r>
      <w:r>
        <w:rPr>
          <w:rFonts w:eastAsia="Times New Roman"/>
          <w:szCs w:val="24"/>
        </w:rPr>
        <w:t>ä</w:t>
      </w:r>
      <w:r>
        <w:rPr>
          <w:rFonts w:eastAsia="Times New Roman"/>
          <w:szCs w:val="24"/>
        </w:rPr>
        <w:t>re Steuerungswirkung attestiert.</w:t>
      </w:r>
      <w:r>
        <w:rPr>
          <w:rStyle w:val="Funotenzeichen"/>
          <w:rFonts w:eastAsia="Times New Roman"/>
          <w:szCs w:val="24"/>
        </w:rPr>
        <w:footnoteReference w:id="42"/>
      </w:r>
      <w:r>
        <w:rPr>
          <w:rFonts w:eastAsia="Times New Roman"/>
          <w:szCs w:val="24"/>
        </w:rPr>
        <w:t xml:space="preserve"> </w:t>
      </w:r>
      <w:r w:rsidR="006823FD">
        <w:rPr>
          <w:rFonts w:eastAsia="Times New Roman"/>
          <w:szCs w:val="24"/>
        </w:rPr>
        <w:t>Neben d</w:t>
      </w:r>
      <w:r>
        <w:rPr>
          <w:rFonts w:eastAsia="Times New Roman"/>
          <w:szCs w:val="24"/>
        </w:rPr>
        <w:t xml:space="preserve">en </w:t>
      </w:r>
      <w:r w:rsidR="007727C2">
        <w:rPr>
          <w:rFonts w:eastAsia="Times New Roman"/>
          <w:szCs w:val="24"/>
        </w:rPr>
        <w:t xml:space="preserve">zuvor </w:t>
      </w:r>
      <w:r>
        <w:rPr>
          <w:rFonts w:eastAsia="Times New Roman"/>
          <w:szCs w:val="24"/>
        </w:rPr>
        <w:t xml:space="preserve">belegten Defiziten lassen sich dem </w:t>
      </w:r>
      <w:r w:rsidR="006823FD">
        <w:rPr>
          <w:rFonts w:eastAsia="Times New Roman"/>
          <w:szCs w:val="24"/>
        </w:rPr>
        <w:t>Gesamtkonzept der</w:t>
      </w:r>
      <w:r w:rsidR="004F5307" w:rsidRPr="00CC361D">
        <w:rPr>
          <w:rFonts w:eastAsia="Times New Roman"/>
          <w:szCs w:val="24"/>
        </w:rPr>
        <w:t xml:space="preserve"> bereichsspezifischen Datenschutzvorgaben</w:t>
      </w:r>
      <w:r w:rsidR="009442B5">
        <w:rPr>
          <w:rFonts w:eastAsia="Times New Roman"/>
          <w:szCs w:val="24"/>
        </w:rPr>
        <w:t xml:space="preserve"> der §§ 21</w:t>
      </w:r>
      <w:r>
        <w:rPr>
          <w:rFonts w:eastAsia="Times New Roman"/>
          <w:szCs w:val="24"/>
        </w:rPr>
        <w:t>g ff.</w:t>
      </w:r>
      <w:r w:rsidR="008F47C0">
        <w:rPr>
          <w:rFonts w:eastAsia="Times New Roman"/>
          <w:szCs w:val="24"/>
        </w:rPr>
        <w:t xml:space="preserve"> </w:t>
      </w:r>
      <w:r>
        <w:rPr>
          <w:rFonts w:eastAsia="Times New Roman"/>
          <w:szCs w:val="24"/>
        </w:rPr>
        <w:t>EnWG</w:t>
      </w:r>
      <w:r w:rsidR="007727C2">
        <w:rPr>
          <w:rFonts w:eastAsia="Times New Roman"/>
          <w:szCs w:val="24"/>
        </w:rPr>
        <w:t xml:space="preserve"> </w:t>
      </w:r>
      <w:r w:rsidR="006823FD">
        <w:rPr>
          <w:rFonts w:eastAsia="Times New Roman"/>
          <w:szCs w:val="24"/>
        </w:rPr>
        <w:t>weitere Unzulänglichkeiten</w:t>
      </w:r>
      <w:r>
        <w:rPr>
          <w:rFonts w:eastAsia="Times New Roman"/>
          <w:szCs w:val="24"/>
        </w:rPr>
        <w:t xml:space="preserve"> entnehmen</w:t>
      </w:r>
      <w:r w:rsidR="006823FD">
        <w:rPr>
          <w:rFonts w:eastAsia="Times New Roman"/>
          <w:szCs w:val="24"/>
        </w:rPr>
        <w:t xml:space="preserve">, welche als Indiz für die fehlenden oder zumindest mangelnde Steuerungsfähigkeit </w:t>
      </w:r>
      <w:r>
        <w:rPr>
          <w:rFonts w:eastAsia="Times New Roman"/>
          <w:szCs w:val="24"/>
        </w:rPr>
        <w:t>materiel</w:t>
      </w:r>
      <w:r>
        <w:rPr>
          <w:rFonts w:eastAsia="Times New Roman"/>
          <w:szCs w:val="24"/>
        </w:rPr>
        <w:t>l</w:t>
      </w:r>
      <w:r>
        <w:rPr>
          <w:rFonts w:eastAsia="Times New Roman"/>
          <w:szCs w:val="24"/>
        </w:rPr>
        <w:t xml:space="preserve">rechtlich </w:t>
      </w:r>
      <w:r w:rsidR="006823FD">
        <w:rPr>
          <w:rFonts w:eastAsia="Times New Roman"/>
          <w:szCs w:val="24"/>
        </w:rPr>
        <w:t>konzipierter datenschutzrechtlicher Vorgaben angesehen werden können.</w:t>
      </w:r>
      <w:r w:rsidR="00774A50">
        <w:rPr>
          <w:rFonts w:eastAsia="Times New Roman"/>
          <w:szCs w:val="24"/>
        </w:rPr>
        <w:t xml:space="preserve"> Diesbezüglich wurde </w:t>
      </w:r>
      <w:r>
        <w:rPr>
          <w:rFonts w:eastAsia="Times New Roman"/>
          <w:szCs w:val="24"/>
        </w:rPr>
        <w:t>den bereichsspezifischen D</w:t>
      </w:r>
      <w:r w:rsidR="00774A50">
        <w:rPr>
          <w:rFonts w:eastAsia="Times New Roman"/>
          <w:szCs w:val="24"/>
        </w:rPr>
        <w:t>atenschutzreg</w:t>
      </w:r>
      <w:r w:rsidR="00774A50">
        <w:rPr>
          <w:rFonts w:eastAsia="Times New Roman"/>
          <w:szCs w:val="24"/>
        </w:rPr>
        <w:t>e</w:t>
      </w:r>
      <w:r w:rsidR="00774A50">
        <w:rPr>
          <w:rFonts w:eastAsia="Times New Roman"/>
          <w:szCs w:val="24"/>
        </w:rPr>
        <w:t xml:space="preserve">lungen einerseits </w:t>
      </w:r>
      <w:r>
        <w:rPr>
          <w:rFonts w:eastAsia="Times New Roman"/>
          <w:szCs w:val="24"/>
        </w:rPr>
        <w:t xml:space="preserve">grundlegend die Verfassungsmäßigkeit abgesprochen, </w:t>
      </w:r>
      <w:r w:rsidR="00774A50">
        <w:rPr>
          <w:rFonts w:eastAsia="Times New Roman"/>
          <w:szCs w:val="24"/>
        </w:rPr>
        <w:t xml:space="preserve">was teilweise </w:t>
      </w:r>
      <w:r w:rsidR="00067431">
        <w:rPr>
          <w:rFonts w:eastAsia="Times New Roman"/>
          <w:szCs w:val="24"/>
        </w:rPr>
        <w:t xml:space="preserve">explizit </w:t>
      </w:r>
      <w:r w:rsidR="00774A50">
        <w:rPr>
          <w:rFonts w:eastAsia="Times New Roman"/>
          <w:szCs w:val="24"/>
        </w:rPr>
        <w:t xml:space="preserve">auf die </w:t>
      </w:r>
      <w:r w:rsidR="00067431">
        <w:rPr>
          <w:rFonts w:eastAsia="Times New Roman"/>
          <w:szCs w:val="24"/>
        </w:rPr>
        <w:t>divergierende Regelungstiefe</w:t>
      </w:r>
      <w:r w:rsidR="00774A50">
        <w:rPr>
          <w:rFonts w:eastAsia="Times New Roman"/>
          <w:szCs w:val="24"/>
        </w:rPr>
        <w:t xml:space="preserve"> gestützt </w:t>
      </w:r>
      <w:r w:rsidR="007727C2">
        <w:rPr>
          <w:rFonts w:eastAsia="Times New Roman"/>
          <w:szCs w:val="24"/>
        </w:rPr>
        <w:t>wird</w:t>
      </w:r>
      <w:r w:rsidR="00774A50">
        <w:rPr>
          <w:rFonts w:eastAsia="Times New Roman"/>
          <w:szCs w:val="24"/>
        </w:rPr>
        <w:t>. And</w:t>
      </w:r>
      <w:r w:rsidR="00774A50">
        <w:rPr>
          <w:rFonts w:eastAsia="Times New Roman"/>
          <w:szCs w:val="24"/>
        </w:rPr>
        <w:t>e</w:t>
      </w:r>
      <w:r w:rsidR="00774A50">
        <w:rPr>
          <w:rFonts w:eastAsia="Times New Roman"/>
          <w:szCs w:val="24"/>
        </w:rPr>
        <w:t>rerseits bestehen weitere</w:t>
      </w:r>
      <w:r w:rsidR="00773364">
        <w:rPr>
          <w:rFonts w:eastAsia="Times New Roman"/>
          <w:szCs w:val="24"/>
        </w:rPr>
        <w:t xml:space="preserve"> Bedenken hinsichtlich der Vollständigkeit mater</w:t>
      </w:r>
      <w:r w:rsidR="00773364">
        <w:rPr>
          <w:rFonts w:eastAsia="Times New Roman"/>
          <w:szCs w:val="24"/>
        </w:rPr>
        <w:t>i</w:t>
      </w:r>
      <w:r w:rsidR="00773364">
        <w:rPr>
          <w:rFonts w:eastAsia="Times New Roman"/>
          <w:szCs w:val="24"/>
        </w:rPr>
        <w:t xml:space="preserve">eller Vorgaben wie </w:t>
      </w:r>
      <w:r w:rsidR="007727C2">
        <w:rPr>
          <w:rFonts w:eastAsia="Times New Roman"/>
          <w:szCs w:val="24"/>
        </w:rPr>
        <w:t xml:space="preserve">die </w:t>
      </w:r>
      <w:r w:rsidR="00773364">
        <w:rPr>
          <w:rFonts w:eastAsia="Times New Roman"/>
          <w:szCs w:val="24"/>
        </w:rPr>
        <w:t>Form der Einwilligung</w:t>
      </w:r>
      <w:r w:rsidR="007727C2">
        <w:rPr>
          <w:rFonts w:eastAsia="Times New Roman"/>
          <w:szCs w:val="24"/>
        </w:rPr>
        <w:t xml:space="preserve"> oder der </w:t>
      </w:r>
      <w:r w:rsidR="00773364">
        <w:rPr>
          <w:rFonts w:eastAsia="Times New Roman"/>
          <w:szCs w:val="24"/>
        </w:rPr>
        <w:t>Adressatenkreis der Informationspflichten</w:t>
      </w:r>
      <w:r w:rsidR="00067431">
        <w:rPr>
          <w:rFonts w:eastAsia="Times New Roman"/>
          <w:szCs w:val="24"/>
        </w:rPr>
        <w:t xml:space="preserve">. </w:t>
      </w:r>
      <w:r w:rsidR="001F0438">
        <w:rPr>
          <w:rFonts w:eastAsia="Times New Roman"/>
          <w:szCs w:val="24"/>
        </w:rPr>
        <w:t xml:space="preserve">In der vorliegenden Konstellation </w:t>
      </w:r>
      <w:r w:rsidR="007727C2">
        <w:rPr>
          <w:rFonts w:eastAsia="Times New Roman"/>
          <w:szCs w:val="24"/>
        </w:rPr>
        <w:t>kumuliert hinsich</w:t>
      </w:r>
      <w:r w:rsidR="007727C2">
        <w:rPr>
          <w:rFonts w:eastAsia="Times New Roman"/>
          <w:szCs w:val="24"/>
        </w:rPr>
        <w:t>t</w:t>
      </w:r>
      <w:r w:rsidR="007727C2">
        <w:rPr>
          <w:rFonts w:eastAsia="Times New Roman"/>
          <w:szCs w:val="24"/>
        </w:rPr>
        <w:t>lich</w:t>
      </w:r>
      <w:r w:rsidR="001F0438">
        <w:rPr>
          <w:rFonts w:eastAsia="Times New Roman"/>
          <w:szCs w:val="24"/>
        </w:rPr>
        <w:t xml:space="preserve"> </w:t>
      </w:r>
      <w:r w:rsidR="007727C2">
        <w:rPr>
          <w:rFonts w:eastAsia="Times New Roman"/>
          <w:szCs w:val="24"/>
        </w:rPr>
        <w:t xml:space="preserve">der </w:t>
      </w:r>
      <w:r w:rsidR="001F0438">
        <w:rPr>
          <w:rFonts w:eastAsia="Times New Roman"/>
          <w:szCs w:val="24"/>
        </w:rPr>
        <w:t>Wissensgenerierung</w:t>
      </w:r>
      <w:r w:rsidR="00773364">
        <w:rPr>
          <w:rFonts w:eastAsia="Times New Roman"/>
          <w:szCs w:val="24"/>
        </w:rPr>
        <w:t>,</w:t>
      </w:r>
      <w:r w:rsidR="001F0438">
        <w:rPr>
          <w:rFonts w:eastAsia="Times New Roman"/>
          <w:szCs w:val="24"/>
        </w:rPr>
        <w:t xml:space="preserve"> </w:t>
      </w:r>
      <w:r w:rsidR="001F0438" w:rsidRPr="003F7FF9">
        <w:rPr>
          <w:rFonts w:eastAsia="Times New Roman"/>
          <w:b/>
          <w:i/>
          <w:szCs w:val="24"/>
        </w:rPr>
        <w:t>fehlendes Sachverhaltswissen</w:t>
      </w:r>
      <w:r w:rsidR="001F0438">
        <w:rPr>
          <w:rFonts w:eastAsia="Times New Roman"/>
          <w:szCs w:val="24"/>
        </w:rPr>
        <w:t xml:space="preserve"> über </w:t>
      </w:r>
      <w:r w:rsidR="005933EA">
        <w:rPr>
          <w:rFonts w:eastAsia="Times New Roman"/>
          <w:szCs w:val="24"/>
        </w:rPr>
        <w:t>tatsächl</w:t>
      </w:r>
      <w:r w:rsidR="005933EA">
        <w:rPr>
          <w:rFonts w:eastAsia="Times New Roman"/>
          <w:szCs w:val="24"/>
        </w:rPr>
        <w:t>i</w:t>
      </w:r>
      <w:r w:rsidR="005933EA">
        <w:rPr>
          <w:rFonts w:eastAsia="Times New Roman"/>
          <w:szCs w:val="24"/>
        </w:rPr>
        <w:t>che</w:t>
      </w:r>
      <w:r w:rsidR="001F0438">
        <w:rPr>
          <w:rFonts w:eastAsia="Times New Roman"/>
          <w:szCs w:val="24"/>
        </w:rPr>
        <w:t xml:space="preserve"> Marktaspekte, welche</w:t>
      </w:r>
      <w:r w:rsidR="00490AFD">
        <w:rPr>
          <w:rFonts w:eastAsia="Times New Roman"/>
          <w:szCs w:val="24"/>
        </w:rPr>
        <w:t>s</w:t>
      </w:r>
      <w:r w:rsidR="001F0438">
        <w:rPr>
          <w:rFonts w:eastAsia="Times New Roman"/>
          <w:szCs w:val="24"/>
        </w:rPr>
        <w:t xml:space="preserve"> sich in der gesetzlichen </w:t>
      </w:r>
      <w:r w:rsidR="00A741EA">
        <w:rPr>
          <w:rFonts w:eastAsia="Times New Roman"/>
          <w:szCs w:val="24"/>
        </w:rPr>
        <w:t xml:space="preserve">Normierung </w:t>
      </w:r>
      <w:r w:rsidR="001F0438">
        <w:rPr>
          <w:rFonts w:eastAsia="Times New Roman"/>
          <w:szCs w:val="24"/>
        </w:rPr>
        <w:t>abzeichnen müss</w:t>
      </w:r>
      <w:r w:rsidR="00A741EA">
        <w:rPr>
          <w:rFonts w:eastAsia="Times New Roman"/>
          <w:szCs w:val="24"/>
        </w:rPr>
        <w:t>t</w:t>
      </w:r>
      <w:r w:rsidR="001F0438">
        <w:rPr>
          <w:rFonts w:eastAsia="Times New Roman"/>
          <w:szCs w:val="24"/>
        </w:rPr>
        <w:t xml:space="preserve">e </w:t>
      </w:r>
      <w:r w:rsidR="005933EA">
        <w:rPr>
          <w:rFonts w:eastAsia="Times New Roman"/>
          <w:szCs w:val="24"/>
        </w:rPr>
        <w:t>mit Norm</w:t>
      </w:r>
      <w:r w:rsidR="00A741EA">
        <w:rPr>
          <w:rFonts w:eastAsia="Times New Roman"/>
          <w:szCs w:val="24"/>
        </w:rPr>
        <w:t>-</w:t>
      </w:r>
      <w:r w:rsidR="001F0438">
        <w:rPr>
          <w:rFonts w:eastAsia="Times New Roman"/>
          <w:szCs w:val="24"/>
        </w:rPr>
        <w:t xml:space="preserve"> bzw. Erfahrungswissen. </w:t>
      </w:r>
    </w:p>
    <w:p w:rsidR="004F5307" w:rsidRDefault="003455EF" w:rsidP="00417FA2">
      <w:pPr>
        <w:pStyle w:val="berschrift5"/>
        <w:numPr>
          <w:ilvl w:val="0"/>
          <w:numId w:val="34"/>
        </w:numPr>
        <w:ind w:left="851" w:hanging="681"/>
      </w:pPr>
      <w:bookmarkStart w:id="47" w:name="_Ref467595501"/>
      <w:bookmarkStart w:id="48" w:name="_Ref467595525"/>
      <w:bookmarkStart w:id="49" w:name="_Toc490827364"/>
      <w:r>
        <w:t>Grundrechtskonformität</w:t>
      </w:r>
      <w:r w:rsidR="004F5307">
        <w:t xml:space="preserve"> der bereichsspezifischen Datenschutzregelungen</w:t>
      </w:r>
      <w:bookmarkEnd w:id="47"/>
      <w:bookmarkEnd w:id="48"/>
      <w:bookmarkEnd w:id="49"/>
    </w:p>
    <w:p w:rsidR="00667951" w:rsidRDefault="0065175A" w:rsidP="006E7507">
      <w:r>
        <w:t>Einige k</w:t>
      </w:r>
      <w:r w:rsidR="00774A50">
        <w:t>ritische Stimmen</w:t>
      </w:r>
      <w:r w:rsidR="007727C2">
        <w:t xml:space="preserve"> in der Literatur</w:t>
      </w:r>
      <w:r w:rsidR="00774A50">
        <w:t xml:space="preserve"> heg</w:t>
      </w:r>
      <w:r w:rsidR="007727C2">
        <w:t>t</w:t>
      </w:r>
      <w:r w:rsidR="00774A50">
        <w:t xml:space="preserve">en </w:t>
      </w:r>
      <w:r w:rsidR="007727C2">
        <w:t xml:space="preserve">darüber hinaus </w:t>
      </w:r>
      <w:r w:rsidR="00774A50" w:rsidRPr="00CB59C0">
        <w:t xml:space="preserve">erhebliche Zweifel an der </w:t>
      </w:r>
      <w:r w:rsidR="00A741EA">
        <w:t xml:space="preserve">grundsätzlichen </w:t>
      </w:r>
      <w:r w:rsidR="00774A50" w:rsidRPr="00CB59C0">
        <w:t xml:space="preserve">Verfassungsmäßigkeit </w:t>
      </w:r>
      <w:r>
        <w:t>der bereichsspezif</w:t>
      </w:r>
      <w:r>
        <w:t>i</w:t>
      </w:r>
      <w:r>
        <w:t>schen Datenschutzregelungen im EnWG</w:t>
      </w:r>
      <w:r w:rsidR="00A741EA">
        <w:t>.</w:t>
      </w:r>
      <w:r>
        <w:rPr>
          <w:rStyle w:val="Funotenzeichen"/>
        </w:rPr>
        <w:footnoteReference w:id="43"/>
      </w:r>
      <w:r w:rsidR="00774A50" w:rsidRPr="00CB59C0">
        <w:t xml:space="preserve"> Mit den Verweisen auf </w:t>
      </w:r>
      <w:r w:rsidR="00A741EA">
        <w:t>konkret</w:t>
      </w:r>
      <w:r w:rsidR="00A741EA">
        <w:t>i</w:t>
      </w:r>
      <w:r w:rsidR="00A741EA">
        <w:t>sierende</w:t>
      </w:r>
      <w:r w:rsidR="00A741EA" w:rsidRPr="00CB59C0">
        <w:t xml:space="preserve"> </w:t>
      </w:r>
      <w:r w:rsidR="00774A50" w:rsidRPr="00CB59C0">
        <w:t>Verordnungen habe der Gesetzgeber wesentliche Entscheidungen der Exekutive überlassen, was sowohl gegen den Vorbehalt des Gesetzes</w:t>
      </w:r>
      <w:r w:rsidR="005933EA">
        <w:t xml:space="preserve"> spreche </w:t>
      </w:r>
      <w:r w:rsidR="00774A50" w:rsidRPr="00CB59C0">
        <w:t>als auch d</w:t>
      </w:r>
      <w:r w:rsidR="005933EA">
        <w:t>er vom Bundesverfassungsgericht</w:t>
      </w:r>
      <w:r w:rsidR="00490AFD">
        <w:t xml:space="preserve"> </w:t>
      </w:r>
      <w:r w:rsidR="00774A50" w:rsidRPr="00CB59C0">
        <w:t>entwickelten Wesen</w:t>
      </w:r>
      <w:r w:rsidR="00774A50" w:rsidRPr="00CB59C0">
        <w:t>t</w:t>
      </w:r>
      <w:r w:rsidR="00774A50" w:rsidRPr="00CB59C0">
        <w:t>lichkeits</w:t>
      </w:r>
      <w:r w:rsidR="00A741EA">
        <w:t>-</w:t>
      </w:r>
      <w:r w:rsidR="00774A50" w:rsidRPr="00CB59C0">
        <w:t>theorie widerspräche.</w:t>
      </w:r>
      <w:r w:rsidR="00774A50" w:rsidRPr="00CB59C0">
        <w:rPr>
          <w:vertAlign w:val="superscript"/>
        </w:rPr>
        <w:footnoteReference w:id="44"/>
      </w:r>
      <w:r w:rsidR="000840AC">
        <w:t xml:space="preserve"> </w:t>
      </w:r>
      <w:r w:rsidR="004F5307" w:rsidRPr="00CC361D">
        <w:rPr>
          <w:rFonts w:eastAsia="Times New Roman"/>
          <w:szCs w:val="24"/>
        </w:rPr>
        <w:t xml:space="preserve">Zudem </w:t>
      </w:r>
      <w:r w:rsidR="000840AC">
        <w:rPr>
          <w:rFonts w:eastAsia="Times New Roman"/>
          <w:szCs w:val="24"/>
        </w:rPr>
        <w:t xml:space="preserve">wurde </w:t>
      </w:r>
      <w:r w:rsidR="004F5307" w:rsidRPr="00CC361D">
        <w:rPr>
          <w:rFonts w:eastAsia="Times New Roman"/>
          <w:szCs w:val="24"/>
        </w:rPr>
        <w:t xml:space="preserve">den gesetzlichen Vorgaben </w:t>
      </w:r>
      <w:r w:rsidR="004F5307" w:rsidRPr="00CC361D">
        <w:rPr>
          <w:rFonts w:eastAsia="Times New Roman"/>
          <w:szCs w:val="24"/>
        </w:rPr>
        <w:lastRenderedPageBreak/>
        <w:t>teilweise jegliche</w:t>
      </w:r>
      <w:r w:rsidR="004F5307">
        <w:rPr>
          <w:rFonts w:eastAsia="Times New Roman"/>
          <w:szCs w:val="24"/>
        </w:rPr>
        <w:t xml:space="preserve"> datenschutzrechtliche</w:t>
      </w:r>
      <w:r w:rsidR="000840AC">
        <w:rPr>
          <w:rFonts w:eastAsia="Times New Roman"/>
          <w:szCs w:val="24"/>
        </w:rPr>
        <w:t xml:space="preserve"> Steuerungswirkung abgesprochen, indem </w:t>
      </w:r>
      <w:r w:rsidR="004F5307" w:rsidRPr="00CC361D">
        <w:rPr>
          <w:rFonts w:eastAsia="Times New Roman"/>
          <w:szCs w:val="24"/>
        </w:rPr>
        <w:t>die Anwendbarkeit für Sachverhalt</w:t>
      </w:r>
      <w:r w:rsidR="004F5307">
        <w:rPr>
          <w:rFonts w:eastAsia="Times New Roman"/>
          <w:szCs w:val="24"/>
        </w:rPr>
        <w:t>e</w:t>
      </w:r>
      <w:r w:rsidR="004F5307" w:rsidRPr="00CC361D">
        <w:rPr>
          <w:rFonts w:eastAsia="Times New Roman"/>
          <w:szCs w:val="24"/>
        </w:rPr>
        <w:t xml:space="preserve"> des Smart Grids zugunsten ein</w:t>
      </w:r>
      <w:r w:rsidR="004F5307">
        <w:rPr>
          <w:rFonts w:eastAsia="Times New Roman"/>
          <w:szCs w:val="24"/>
        </w:rPr>
        <w:t>er Anwendung des BDSG vernein</w:t>
      </w:r>
      <w:r w:rsidR="005933EA">
        <w:rPr>
          <w:rFonts w:eastAsia="Times New Roman"/>
          <w:szCs w:val="24"/>
        </w:rPr>
        <w:t>t wurde</w:t>
      </w:r>
      <w:r w:rsidR="003A6B56">
        <w:rPr>
          <w:rFonts w:eastAsia="Times New Roman"/>
          <w:szCs w:val="24"/>
        </w:rPr>
        <w:t>.</w:t>
      </w:r>
      <w:r w:rsidR="00067431">
        <w:rPr>
          <w:rStyle w:val="Funotenzeichen"/>
          <w:rFonts w:eastAsia="Times New Roman"/>
          <w:szCs w:val="24"/>
        </w:rPr>
        <w:footnoteReference w:id="45"/>
      </w:r>
      <w:r w:rsidR="004F5307" w:rsidRPr="00CC361D">
        <w:rPr>
          <w:rFonts w:eastAsia="Times New Roman"/>
          <w:szCs w:val="24"/>
        </w:rPr>
        <w:t xml:space="preserve"> </w:t>
      </w:r>
      <w:r w:rsidR="000840AC">
        <w:t>Dies folge aus § 1 Abs. 3 BDSG und dem</w:t>
      </w:r>
      <w:r w:rsidR="000840AC" w:rsidRPr="00CB59C0">
        <w:t xml:space="preserve"> dort verankerte</w:t>
      </w:r>
      <w:r w:rsidR="00490AFD">
        <w:t>n</w:t>
      </w:r>
      <w:r w:rsidR="000840AC" w:rsidRPr="00CB59C0">
        <w:t xml:space="preserve"> </w:t>
      </w:r>
      <w:r w:rsidR="000840AC" w:rsidRPr="00CB59C0">
        <w:rPr>
          <w:b/>
        </w:rPr>
        <w:t>Vorrang des spezielleren Gesetzes</w:t>
      </w:r>
      <w:r w:rsidR="000840AC" w:rsidRPr="00CB59C0">
        <w:t xml:space="preserve"> bzw. dem Grunds</w:t>
      </w:r>
      <w:r w:rsidR="000840AC">
        <w:t>atz der Subsidiarität des BDSG</w:t>
      </w:r>
      <w:r w:rsidR="000840AC" w:rsidRPr="00CB59C0">
        <w:t>. Als dem BDSG vorgehend sind demnach alle Spezialregelungen anzusehen, deren Ziel und Inhalt sich mit der allgemeinen Regelung des BDSG decken.</w:t>
      </w:r>
      <w:r w:rsidR="000840AC" w:rsidRPr="00CB59C0">
        <w:rPr>
          <w:vertAlign w:val="superscript"/>
        </w:rPr>
        <w:footnoteReference w:id="46"/>
      </w:r>
      <w:r w:rsidR="000840AC" w:rsidRPr="00CB59C0">
        <w:t xml:space="preserve"> Bei einer tatbestandkong</w:t>
      </w:r>
      <w:r w:rsidR="005933EA">
        <w:t>r</w:t>
      </w:r>
      <w:r w:rsidR="005933EA">
        <w:t>u</w:t>
      </w:r>
      <w:r w:rsidR="005933EA">
        <w:t>enten Regelung</w:t>
      </w:r>
      <w:r w:rsidR="000840AC" w:rsidRPr="00CB59C0">
        <w:t xml:space="preserve"> ist ein Rückgriff auf weitergehende Erlaubnistatbestände verwehrt, obwohl im Grundsatz auch dann auf das BDSG zurückgegriffen werden kann, wenn ausdrückliche Verweise in den Spezialgesetzen fehlen.</w:t>
      </w:r>
      <w:r w:rsidR="000840AC" w:rsidRPr="00CB59C0">
        <w:rPr>
          <w:vertAlign w:val="superscript"/>
        </w:rPr>
        <w:footnoteReference w:id="47"/>
      </w:r>
      <w:r w:rsidR="000840AC" w:rsidRPr="00CB59C0">
        <w:t xml:space="preserve"> </w:t>
      </w:r>
      <w:r w:rsidR="009442B5">
        <w:t>Bei § 21</w:t>
      </w:r>
      <w:r w:rsidR="000840AC">
        <w:t>g Abs. 1</w:t>
      </w:r>
      <w:r w:rsidR="00490AFD">
        <w:t xml:space="preserve"> </w:t>
      </w:r>
      <w:r w:rsidR="000840AC">
        <w:t xml:space="preserve">EnWG </w:t>
      </w:r>
      <w:r w:rsidR="000840AC" w:rsidRPr="00D654A7">
        <w:t>han</w:t>
      </w:r>
      <w:r w:rsidR="000840AC">
        <w:t xml:space="preserve">dele es sich </w:t>
      </w:r>
      <w:r w:rsidR="000840AC" w:rsidRPr="00D654A7">
        <w:t>um eine bereichsspezifi</w:t>
      </w:r>
      <w:r w:rsidR="000840AC">
        <w:t>sche Grun</w:t>
      </w:r>
      <w:r w:rsidR="000840AC">
        <w:t>d</w:t>
      </w:r>
      <w:r w:rsidR="000840AC">
        <w:t xml:space="preserve">lage im Sinne des § 4 </w:t>
      </w:r>
      <w:r w:rsidR="000840AC" w:rsidRPr="00D654A7">
        <w:t>Abs. 2 S. 2 Nr. 1 BDSG, welche den Anwendungsfall „ohne Mitwi</w:t>
      </w:r>
      <w:r w:rsidR="000840AC">
        <w:t xml:space="preserve">rkung des Betroffenen“ regele und gerade nicht um </w:t>
      </w:r>
      <w:r w:rsidR="005933EA">
        <w:t xml:space="preserve">ein </w:t>
      </w:r>
      <w:r w:rsidR="000840AC" w:rsidRPr="00CB59C0">
        <w:t>eige</w:t>
      </w:r>
      <w:r w:rsidR="000840AC" w:rsidRPr="00CB59C0">
        <w:t>n</w:t>
      </w:r>
      <w:r w:rsidR="000840AC" w:rsidRPr="00CB59C0">
        <w:t>ständiges präventives Verbot mit Erlaubnistatbestand</w:t>
      </w:r>
      <w:r w:rsidR="000840AC">
        <w:t xml:space="preserve"> und somit auch nicht um die nach dem Subsidiaritätsprinzip erforderliche tatbestandskongruente Regelung.</w:t>
      </w:r>
      <w:r w:rsidR="000840AC">
        <w:rPr>
          <w:rStyle w:val="Funotenzeichen"/>
        </w:rPr>
        <w:footnoteReference w:id="48"/>
      </w:r>
      <w:r w:rsidR="00667951">
        <w:t xml:space="preserve"> </w:t>
      </w:r>
      <w:r w:rsidR="00667951" w:rsidRPr="00667951">
        <w:t>Nach anderer Ansicht w</w:t>
      </w:r>
      <w:r w:rsidR="002278F8">
        <w:t xml:space="preserve">ird dem widersprochen. § 21g </w:t>
      </w:r>
      <w:r w:rsidR="00A741EA">
        <w:t xml:space="preserve">EnWG </w:t>
      </w:r>
      <w:r w:rsidR="002278F8">
        <w:t>sei</w:t>
      </w:r>
      <w:r w:rsidR="00667951" w:rsidRPr="00667951">
        <w:t xml:space="preserve"> als eigenständiges präventives Verbot mit Erlaub</w:t>
      </w:r>
      <w:r w:rsidR="005933EA">
        <w:t>nistatbestand ausgesta</w:t>
      </w:r>
      <w:r w:rsidR="005933EA">
        <w:t>l</w:t>
      </w:r>
      <w:r w:rsidR="005933EA">
        <w:t>tet.</w:t>
      </w:r>
      <w:r w:rsidR="00667951" w:rsidRPr="00667951">
        <w:rPr>
          <w:rStyle w:val="Funotenzeichen"/>
        </w:rPr>
        <w:footnoteReference w:id="49"/>
      </w:r>
      <w:r w:rsidR="00667951" w:rsidRPr="00667951">
        <w:t xml:space="preserve"> Da § 21 Abs. 1</w:t>
      </w:r>
      <w:r w:rsidR="006D171B">
        <w:t xml:space="preserve"> </w:t>
      </w:r>
      <w:r w:rsidR="00A741EA">
        <w:t xml:space="preserve">EnWG </w:t>
      </w:r>
      <w:r w:rsidR="00667951" w:rsidRPr="00667951">
        <w:t>nach der Gesetzesbegründung die erlaubten Datenverwendungen abschließend regele</w:t>
      </w:r>
      <w:r w:rsidR="005933EA">
        <w:t>,</w:t>
      </w:r>
      <w:r w:rsidR="00667951" w:rsidRPr="00667951">
        <w:rPr>
          <w:vertAlign w:val="superscript"/>
        </w:rPr>
        <w:footnoteReference w:id="50"/>
      </w:r>
      <w:r w:rsidR="00667951" w:rsidRPr="00667951">
        <w:t xml:space="preserve"> stelle es eine tatbestandkongr</w:t>
      </w:r>
      <w:r w:rsidR="00667951" w:rsidRPr="00667951">
        <w:t>u</w:t>
      </w:r>
      <w:r w:rsidR="00667951" w:rsidRPr="00667951">
        <w:t xml:space="preserve">ente Regelung zu § 4 Abs. 1 BDSG dar. Damit sei ein Rückgriff auf die materiellen Zulässigkeitstatbestände des BDSG für den Anwendungsbereich </w:t>
      </w:r>
      <w:r w:rsidR="00667951" w:rsidRPr="00667951">
        <w:lastRenderedPageBreak/>
        <w:t>des §21g Abs.1</w:t>
      </w:r>
      <w:r w:rsidR="00A741EA">
        <w:t xml:space="preserve"> EnWG </w:t>
      </w:r>
      <w:r w:rsidR="00667951" w:rsidRPr="00667951">
        <w:t>ausgeschlossen.</w:t>
      </w:r>
      <w:r w:rsidR="00667951" w:rsidRPr="00667951">
        <w:rPr>
          <w:vertAlign w:val="superscript"/>
        </w:rPr>
        <w:footnoteReference w:id="51"/>
      </w:r>
      <w:r w:rsidR="00667951" w:rsidRPr="00667951">
        <w:t xml:space="preserve"> Mithin werden die bereichssp</w:t>
      </w:r>
      <w:r w:rsidR="009442B5">
        <w:t>ezif</w:t>
      </w:r>
      <w:r w:rsidR="009442B5">
        <w:t>i</w:t>
      </w:r>
      <w:r w:rsidR="009442B5">
        <w:t>schen Regelungen der §§ 21</w:t>
      </w:r>
      <w:r w:rsidR="00667951" w:rsidRPr="00667951">
        <w:t>g ff.</w:t>
      </w:r>
      <w:r w:rsidR="006D171B">
        <w:t xml:space="preserve"> </w:t>
      </w:r>
      <w:r w:rsidR="00A741EA">
        <w:t>EnWG</w:t>
      </w:r>
      <w:r w:rsidR="00667951" w:rsidRPr="00667951">
        <w:t xml:space="preserve"> für anwendbar erklärt. </w:t>
      </w:r>
      <w:r w:rsidR="00A741EA">
        <w:t>Gegen die Argumentation der ersten Auffassung kö</w:t>
      </w:r>
      <w:r w:rsidR="009442B5">
        <w:t>nnte sprechen, dass die in § 21</w:t>
      </w:r>
      <w:r w:rsidR="00A741EA">
        <w:t>g Abs.</w:t>
      </w:r>
      <w:r w:rsidR="00421967">
        <w:t xml:space="preserve"> </w:t>
      </w:r>
      <w:r w:rsidR="00A741EA">
        <w:t>6 EnWG angeordnete Einwilligung in das eigentliche Fernmessen, gerade eine Mitwirkung des Betroffenen erzwingt, mithin die vermutete Konstellation in der gesetzlichen Konzeption nicht vorkommen kann. Letz</w:t>
      </w:r>
      <w:r w:rsidR="00A741EA">
        <w:t>t</w:t>
      </w:r>
      <w:r w:rsidR="00A741EA">
        <w:t xml:space="preserve">endlich kann dieser Streit nach der expliziten Regelung zur Einwilligung im MsbG </w:t>
      </w:r>
      <w:r w:rsidR="00421967">
        <w:t xml:space="preserve">aber </w:t>
      </w:r>
      <w:r w:rsidR="00A741EA">
        <w:t>dahinstehen.</w:t>
      </w:r>
    </w:p>
    <w:p w:rsidR="004F5307" w:rsidRPr="00CC361D" w:rsidRDefault="004F5307" w:rsidP="007727C2">
      <w:pPr>
        <w:rPr>
          <w:rFonts w:eastAsia="Times New Roman"/>
          <w:szCs w:val="24"/>
        </w:rPr>
      </w:pPr>
      <w:r>
        <w:rPr>
          <w:rFonts w:eastAsia="Times New Roman"/>
          <w:szCs w:val="24"/>
        </w:rPr>
        <w:t xml:space="preserve">Zum Teil wurde </w:t>
      </w:r>
      <w:r w:rsidR="000840AC">
        <w:rPr>
          <w:rFonts w:eastAsia="Times New Roman"/>
          <w:szCs w:val="24"/>
        </w:rPr>
        <w:t xml:space="preserve">auch </w:t>
      </w:r>
      <w:r>
        <w:rPr>
          <w:rFonts w:eastAsia="Times New Roman"/>
          <w:szCs w:val="24"/>
        </w:rPr>
        <w:t>darauf abgestellt, dass eine Anwendbarkeit lediglich in Verbindung mit der noch zu erlasse</w:t>
      </w:r>
      <w:r w:rsidR="009442B5">
        <w:rPr>
          <w:rFonts w:eastAsia="Times New Roman"/>
          <w:szCs w:val="24"/>
        </w:rPr>
        <w:t>nden Rechtsverordnung nach §21</w:t>
      </w:r>
      <w:r>
        <w:rPr>
          <w:rFonts w:eastAsia="Times New Roman"/>
          <w:szCs w:val="24"/>
        </w:rPr>
        <w:t>h EnWG</w:t>
      </w:r>
      <w:r w:rsidR="00A741EA">
        <w:rPr>
          <w:rFonts w:eastAsia="Times New Roman"/>
          <w:szCs w:val="24"/>
        </w:rPr>
        <w:t xml:space="preserve"> </w:t>
      </w:r>
      <w:r w:rsidR="009442B5">
        <w:rPr>
          <w:rFonts w:eastAsia="Times New Roman"/>
          <w:szCs w:val="24"/>
        </w:rPr>
        <w:t>i.V.m. § 21</w:t>
      </w:r>
      <w:r>
        <w:rPr>
          <w:rFonts w:eastAsia="Times New Roman"/>
          <w:szCs w:val="24"/>
        </w:rPr>
        <w:t>g Abs. 6 EnWG</w:t>
      </w:r>
      <w:r w:rsidR="00A741EA">
        <w:rPr>
          <w:rFonts w:eastAsia="Times New Roman"/>
          <w:szCs w:val="24"/>
        </w:rPr>
        <w:t xml:space="preserve"> </w:t>
      </w:r>
      <w:r>
        <w:rPr>
          <w:rFonts w:eastAsia="Times New Roman"/>
          <w:szCs w:val="24"/>
        </w:rPr>
        <w:t>zu bejahen sei.</w:t>
      </w:r>
      <w:r w:rsidR="00067431">
        <w:rPr>
          <w:rStyle w:val="Funotenzeichen"/>
          <w:rFonts w:eastAsia="Times New Roman"/>
          <w:szCs w:val="24"/>
        </w:rPr>
        <w:footnoteReference w:id="52"/>
      </w:r>
      <w:r>
        <w:rPr>
          <w:rFonts w:eastAsia="Times New Roman"/>
          <w:szCs w:val="24"/>
        </w:rPr>
        <w:t xml:space="preserve"> </w:t>
      </w:r>
      <w:r w:rsidR="007524A4" w:rsidRPr="00792A13">
        <w:rPr>
          <w:rFonts w:eastAsia="Times New Roman"/>
          <w:szCs w:val="24"/>
        </w:rPr>
        <w:t>Zweifel bestehen</w:t>
      </w:r>
      <w:r w:rsidR="007524A4">
        <w:rPr>
          <w:rFonts w:eastAsia="Times New Roman"/>
          <w:szCs w:val="24"/>
        </w:rPr>
        <w:t xml:space="preserve"> die</w:t>
      </w:r>
      <w:r w:rsidR="007524A4">
        <w:rPr>
          <w:rFonts w:eastAsia="Times New Roman"/>
          <w:szCs w:val="24"/>
        </w:rPr>
        <w:t>s</w:t>
      </w:r>
      <w:r w:rsidR="007524A4">
        <w:rPr>
          <w:rFonts w:eastAsia="Times New Roman"/>
          <w:szCs w:val="24"/>
        </w:rPr>
        <w:t>bezüglich</w:t>
      </w:r>
      <w:r w:rsidR="007524A4" w:rsidRPr="00792A13">
        <w:rPr>
          <w:rFonts w:eastAsia="Times New Roman"/>
          <w:szCs w:val="24"/>
        </w:rPr>
        <w:t>, ob es legit</w:t>
      </w:r>
      <w:r w:rsidR="007524A4">
        <w:rPr>
          <w:rFonts w:eastAsia="Times New Roman"/>
          <w:szCs w:val="24"/>
        </w:rPr>
        <w:t>i</w:t>
      </w:r>
      <w:r w:rsidR="007524A4" w:rsidRPr="00792A13">
        <w:rPr>
          <w:rFonts w:eastAsia="Times New Roman"/>
          <w:szCs w:val="24"/>
        </w:rPr>
        <w:t>m ist die notwendigen Detailregelungen durch die Er</w:t>
      </w:r>
      <w:r w:rsidR="009442B5">
        <w:rPr>
          <w:rFonts w:eastAsia="Times New Roman"/>
          <w:szCs w:val="24"/>
        </w:rPr>
        <w:t>mächtigung in § 21</w:t>
      </w:r>
      <w:r w:rsidR="007524A4" w:rsidRPr="00792A13">
        <w:rPr>
          <w:rFonts w:eastAsia="Times New Roman"/>
          <w:szCs w:val="24"/>
        </w:rPr>
        <w:t xml:space="preserve">i Abs. 1 </w:t>
      </w:r>
      <w:r w:rsidR="007524A4">
        <w:rPr>
          <w:rFonts w:eastAsia="Times New Roman"/>
          <w:szCs w:val="24"/>
        </w:rPr>
        <w:t>EnWG</w:t>
      </w:r>
      <w:r w:rsidR="00A741EA">
        <w:rPr>
          <w:rFonts w:eastAsia="Times New Roman"/>
          <w:szCs w:val="24"/>
        </w:rPr>
        <w:t xml:space="preserve"> </w:t>
      </w:r>
      <w:r w:rsidR="007524A4" w:rsidRPr="00792A13">
        <w:rPr>
          <w:rFonts w:eastAsia="Times New Roman"/>
          <w:szCs w:val="24"/>
        </w:rPr>
        <w:t>dem Ve</w:t>
      </w:r>
      <w:r w:rsidR="007524A4">
        <w:rPr>
          <w:rFonts w:eastAsia="Times New Roman"/>
          <w:szCs w:val="24"/>
        </w:rPr>
        <w:t xml:space="preserve">rordnungsgeber zuzuweisen. </w:t>
      </w:r>
      <w:r w:rsidR="007524A4" w:rsidRPr="00792A13">
        <w:rPr>
          <w:rFonts w:eastAsia="Times New Roman"/>
          <w:szCs w:val="24"/>
        </w:rPr>
        <w:t>Die Tatsache, dass der materielle Gehalt ohne diese Konkretisierungen noch unvollständig ist und das tatsächliche Marktgeschehen nicht erfasst zeigt schon, dass es sich dabei auch um wesentliche Regelungen handeln könnte.</w:t>
      </w:r>
      <w:r w:rsidR="00667951" w:rsidRPr="00667951">
        <w:rPr>
          <w:rFonts w:eastAsia="Times New Roman"/>
          <w:szCs w:val="24"/>
        </w:rPr>
        <w:t xml:space="preserve"> </w:t>
      </w:r>
      <w:r w:rsidR="00667951">
        <w:rPr>
          <w:rFonts w:eastAsia="Times New Roman"/>
          <w:szCs w:val="24"/>
        </w:rPr>
        <w:t>Dieser Gedanke scheint auch im Hinblick auf die jetzige Gesetzeslage</w:t>
      </w:r>
      <w:r w:rsidR="00605BC0">
        <w:rPr>
          <w:rFonts w:eastAsia="Times New Roman"/>
          <w:szCs w:val="24"/>
        </w:rPr>
        <w:t xml:space="preserve"> schlüssig</w:t>
      </w:r>
      <w:r w:rsidR="00667951">
        <w:rPr>
          <w:rFonts w:eastAsia="Times New Roman"/>
          <w:szCs w:val="24"/>
        </w:rPr>
        <w:t xml:space="preserve">, in welcher sich der Gesetzgeber lediglich </w:t>
      </w:r>
      <w:r w:rsidR="00490AFD">
        <w:rPr>
          <w:rFonts w:eastAsia="Times New Roman"/>
          <w:szCs w:val="24"/>
        </w:rPr>
        <w:t xml:space="preserve">aufgrund </w:t>
      </w:r>
      <w:r w:rsidR="00667951">
        <w:rPr>
          <w:rFonts w:eastAsia="Times New Roman"/>
          <w:szCs w:val="24"/>
        </w:rPr>
        <w:t>der Gefahr einer Rechtszersplitterung entschieden hat die Materie anstatt auf Veror</w:t>
      </w:r>
      <w:r w:rsidR="00667951">
        <w:rPr>
          <w:rFonts w:eastAsia="Times New Roman"/>
          <w:szCs w:val="24"/>
        </w:rPr>
        <w:t>d</w:t>
      </w:r>
      <w:r w:rsidR="00667951">
        <w:rPr>
          <w:rFonts w:eastAsia="Times New Roman"/>
          <w:szCs w:val="24"/>
        </w:rPr>
        <w:t>nungsebene auf der Gesetzesebene zu regeln. Nicht von der Hand zu weisen ist dennoch, dass er sich mit dieser Entscheidung auch der oben aufgefüh</w:t>
      </w:r>
      <w:r w:rsidR="00667951">
        <w:rPr>
          <w:rFonts w:eastAsia="Times New Roman"/>
          <w:szCs w:val="24"/>
        </w:rPr>
        <w:t>r</w:t>
      </w:r>
      <w:r w:rsidR="00667951">
        <w:rPr>
          <w:rFonts w:eastAsia="Times New Roman"/>
          <w:szCs w:val="24"/>
        </w:rPr>
        <w:t>ten Kritik entzieht</w:t>
      </w:r>
      <w:r w:rsidR="00421967">
        <w:rPr>
          <w:rFonts w:eastAsia="Times New Roman"/>
          <w:szCs w:val="24"/>
        </w:rPr>
        <w:t xml:space="preserve">. </w:t>
      </w:r>
    </w:p>
    <w:p w:rsidR="004F5307" w:rsidRPr="00AB34C0" w:rsidRDefault="004F5307" w:rsidP="00F30386">
      <w:pPr>
        <w:pStyle w:val="berschrift5"/>
        <w:ind w:hanging="624"/>
      </w:pPr>
      <w:bookmarkStart w:id="50" w:name="_Toc490827365"/>
      <w:r w:rsidRPr="00AB34C0">
        <w:t>Divergierende Regelungstiefe</w:t>
      </w:r>
      <w:bookmarkEnd w:id="50"/>
    </w:p>
    <w:p w:rsidR="004F5307" w:rsidRPr="00667951" w:rsidRDefault="00667951" w:rsidP="00B10FE7">
      <w:pPr>
        <w:rPr>
          <w:rFonts w:eastAsia="Times New Roman"/>
          <w:color w:val="808080" w:themeColor="background1" w:themeShade="80"/>
          <w:szCs w:val="24"/>
        </w:rPr>
      </w:pPr>
      <w:r w:rsidRPr="00792A13">
        <w:rPr>
          <w:rFonts w:eastAsia="Times New Roman"/>
          <w:szCs w:val="24"/>
        </w:rPr>
        <w:t xml:space="preserve">Gestützt wird die Kritik </w:t>
      </w:r>
      <w:r>
        <w:rPr>
          <w:rFonts w:eastAsia="Times New Roman"/>
          <w:szCs w:val="24"/>
        </w:rPr>
        <w:t xml:space="preserve">teilweise auch </w:t>
      </w:r>
      <w:r w:rsidRPr="00792A13">
        <w:rPr>
          <w:rFonts w:eastAsia="Times New Roman"/>
          <w:szCs w:val="24"/>
        </w:rPr>
        <w:t>auf die divergierende Regelungstiefe der aufgezählten Zwecke in Verbindung mit der Maßgabe, dass der Geset</w:t>
      </w:r>
      <w:r w:rsidRPr="00792A13">
        <w:rPr>
          <w:rFonts w:eastAsia="Times New Roman"/>
          <w:szCs w:val="24"/>
        </w:rPr>
        <w:t>z</w:t>
      </w:r>
      <w:r w:rsidRPr="00792A13">
        <w:rPr>
          <w:rFonts w:eastAsia="Times New Roman"/>
          <w:szCs w:val="24"/>
        </w:rPr>
        <w:t>geber grundlegende Bestimmungen selbst regeln muss.</w:t>
      </w:r>
      <w:r>
        <w:rPr>
          <w:rFonts w:eastAsia="Times New Roman"/>
          <w:szCs w:val="24"/>
        </w:rPr>
        <w:t xml:space="preserve"> </w:t>
      </w:r>
      <w:r w:rsidR="004F5307">
        <w:rPr>
          <w:rFonts w:eastAsia="Times New Roman"/>
          <w:szCs w:val="24"/>
        </w:rPr>
        <w:t xml:space="preserve">Die </w:t>
      </w:r>
      <w:r w:rsidR="004F5307" w:rsidRPr="00AB34C0">
        <w:rPr>
          <w:rFonts w:eastAsia="Times New Roman"/>
          <w:szCs w:val="24"/>
        </w:rPr>
        <w:t xml:space="preserve">Detaillierung </w:t>
      </w:r>
      <w:r w:rsidR="004F5307" w:rsidRPr="00AB34C0">
        <w:rPr>
          <w:rFonts w:eastAsia="Times New Roman"/>
          <w:szCs w:val="24"/>
        </w:rPr>
        <w:lastRenderedPageBreak/>
        <w:t>der im Gesetz selbst geregelten Zulässigkeitstatbestände</w:t>
      </w:r>
      <w:r w:rsidR="009442B5">
        <w:rPr>
          <w:rFonts w:eastAsia="Times New Roman"/>
          <w:szCs w:val="24"/>
        </w:rPr>
        <w:t xml:space="preserve"> ist in § 21</w:t>
      </w:r>
      <w:r w:rsidR="004F5307">
        <w:rPr>
          <w:rFonts w:eastAsia="Times New Roman"/>
          <w:szCs w:val="24"/>
        </w:rPr>
        <w:t>g EnWG</w:t>
      </w:r>
      <w:r w:rsidR="0039307F">
        <w:rPr>
          <w:rFonts w:eastAsia="Times New Roman"/>
          <w:szCs w:val="24"/>
        </w:rPr>
        <w:t xml:space="preserve"> </w:t>
      </w:r>
      <w:r w:rsidR="004F5307" w:rsidRPr="00AB34C0">
        <w:rPr>
          <w:rFonts w:eastAsia="Times New Roman"/>
          <w:szCs w:val="24"/>
        </w:rPr>
        <w:t xml:space="preserve">äußerst </w:t>
      </w:r>
      <w:r w:rsidR="004F5307">
        <w:rPr>
          <w:rFonts w:eastAsia="Times New Roman"/>
          <w:szCs w:val="24"/>
        </w:rPr>
        <w:t>unterschiedlich ausgestaltet</w:t>
      </w:r>
      <w:r w:rsidR="004F5307" w:rsidRPr="00AB34C0">
        <w:rPr>
          <w:rFonts w:eastAsia="Times New Roman"/>
          <w:szCs w:val="24"/>
        </w:rPr>
        <w:t>. Während die komplexe Messdate</w:t>
      </w:r>
      <w:r w:rsidR="004F5307" w:rsidRPr="00AB34C0">
        <w:rPr>
          <w:rFonts w:eastAsia="Times New Roman"/>
          <w:szCs w:val="24"/>
        </w:rPr>
        <w:t>n</w:t>
      </w:r>
      <w:r w:rsidR="004F5307" w:rsidRPr="00AB34C0">
        <w:rPr>
          <w:rFonts w:eastAsia="Times New Roman"/>
          <w:szCs w:val="24"/>
        </w:rPr>
        <w:t>kommunikation im Rahmen der Belieferung</w:t>
      </w:r>
      <w:r w:rsidR="004F5307" w:rsidRPr="00AB34C0">
        <w:rPr>
          <w:rFonts w:eastAsia="Times New Roman"/>
          <w:szCs w:val="24"/>
          <w:vertAlign w:val="superscript"/>
        </w:rPr>
        <w:footnoteReference w:id="53"/>
      </w:r>
      <w:r w:rsidR="004F5307" w:rsidRPr="00AB34C0">
        <w:rPr>
          <w:rFonts w:eastAsia="Times New Roman"/>
          <w:szCs w:val="24"/>
        </w:rPr>
        <w:t xml:space="preserve"> mit Energie in § 21g Abs. 1 Nr. 3 EnWG sehr wenig konkret nur den Umstand der Belieferung in seinen gesetzlichen Tatbestand aufnimmt, werden die Tatbestandsvoraussetzungen und Begleitumstände der Datenverwendung anlässlich des Aufklärens und Unterbindens einer Leistungserschleichung in § 21g Abs. 1 Nr. 8 i.V.m. Abs. 3 EnWG</w:t>
      </w:r>
      <w:r w:rsidR="0039307F">
        <w:rPr>
          <w:rFonts w:eastAsia="Times New Roman"/>
          <w:szCs w:val="24"/>
        </w:rPr>
        <w:t xml:space="preserve"> </w:t>
      </w:r>
      <w:r w:rsidR="004F5307" w:rsidRPr="00AB34C0">
        <w:rPr>
          <w:rFonts w:eastAsia="Times New Roman"/>
          <w:szCs w:val="24"/>
        </w:rPr>
        <w:t>im Gesetz selbst nahezu abschließend definiert. Diese unte</w:t>
      </w:r>
      <w:r w:rsidR="004F5307" w:rsidRPr="00AB34C0">
        <w:rPr>
          <w:rFonts w:eastAsia="Times New Roman"/>
          <w:szCs w:val="24"/>
        </w:rPr>
        <w:t>r</w:t>
      </w:r>
      <w:r w:rsidR="004F5307" w:rsidRPr="00AB34C0">
        <w:rPr>
          <w:rFonts w:eastAsia="Times New Roman"/>
          <w:szCs w:val="24"/>
        </w:rPr>
        <w:t>schiedliche Regulierungstiefe führt zu der Frage, ob das Gesetz selbst, im Hinblick auf die Eingriffsintensität in das Recht auf informationelle Selbs</w:t>
      </w:r>
      <w:r w:rsidR="004F5307" w:rsidRPr="00AB34C0">
        <w:rPr>
          <w:rFonts w:eastAsia="Times New Roman"/>
          <w:szCs w:val="24"/>
        </w:rPr>
        <w:t>t</w:t>
      </w:r>
      <w:r w:rsidR="004F5307" w:rsidRPr="00AB34C0">
        <w:rPr>
          <w:rFonts w:eastAsia="Times New Roman"/>
          <w:szCs w:val="24"/>
        </w:rPr>
        <w:t xml:space="preserve">bestimmung, die bestehenden Zulässigkeitstatbestände hinreichend normklar regelt. Insbesondere im Hinblick auf den unbestimmten Adressatenkreis und die vielfältigen Kommunikationsprozesse und Datenverarbeitungsschritte, die beispielsweise mit dem unbestimmten Merkmal der </w:t>
      </w:r>
      <w:r w:rsidR="004F5307" w:rsidRPr="00AB34C0">
        <w:rPr>
          <w:rFonts w:eastAsia="Times New Roman"/>
          <w:i/>
          <w:szCs w:val="24"/>
        </w:rPr>
        <w:t xml:space="preserve">„Belieferung mit </w:t>
      </w:r>
      <w:r w:rsidR="004F5307" w:rsidRPr="00AB34C0">
        <w:rPr>
          <w:rFonts w:eastAsia="Times New Roman"/>
          <w:i/>
          <w:szCs w:val="24"/>
        </w:rPr>
        <w:lastRenderedPageBreak/>
        <w:t xml:space="preserve">Energie“ </w:t>
      </w:r>
      <w:r w:rsidR="004F5307" w:rsidRPr="00AB34C0">
        <w:rPr>
          <w:rFonts w:eastAsia="Times New Roman"/>
          <w:szCs w:val="24"/>
        </w:rPr>
        <w:t>verbunden sind</w:t>
      </w:r>
      <w:r w:rsidR="00605BC0">
        <w:rPr>
          <w:rFonts w:eastAsia="Times New Roman"/>
          <w:szCs w:val="24"/>
        </w:rPr>
        <w:t>,</w:t>
      </w:r>
      <w:r w:rsidR="004F5307" w:rsidRPr="00AB34C0">
        <w:rPr>
          <w:rFonts w:eastAsia="Times New Roman"/>
          <w:szCs w:val="24"/>
          <w:vertAlign w:val="superscript"/>
        </w:rPr>
        <w:footnoteReference w:id="54"/>
      </w:r>
      <w:r w:rsidR="004F5307" w:rsidRPr="00AB34C0">
        <w:rPr>
          <w:rFonts w:eastAsia="Times New Roman"/>
          <w:szCs w:val="24"/>
        </w:rPr>
        <w:t xml:space="preserve"> könnte erwogen werden, dass hier eine detai</w:t>
      </w:r>
      <w:r w:rsidR="004F5307" w:rsidRPr="00AB34C0">
        <w:rPr>
          <w:rFonts w:eastAsia="Times New Roman"/>
          <w:szCs w:val="24"/>
        </w:rPr>
        <w:t>l</w:t>
      </w:r>
      <w:r w:rsidR="004F5307" w:rsidRPr="00400AF9">
        <w:rPr>
          <w:rFonts w:eastAsia="Times New Roman"/>
          <w:w w:val="99"/>
          <w:szCs w:val="24"/>
        </w:rPr>
        <w:t xml:space="preserve">liertere Entscheidung durch das Gesetz selbst </w:t>
      </w:r>
      <w:r w:rsidR="00774A50" w:rsidRPr="00400AF9">
        <w:rPr>
          <w:rFonts w:eastAsia="Times New Roman"/>
          <w:w w:val="99"/>
          <w:szCs w:val="24"/>
        </w:rPr>
        <w:t>hätte getroffen werden müssen.</w:t>
      </w:r>
    </w:p>
    <w:p w:rsidR="0039307F" w:rsidRPr="00FB06EC" w:rsidRDefault="00667951" w:rsidP="00FB06EC">
      <w:pPr>
        <w:rPr>
          <w:rFonts w:eastAsia="Times New Roman"/>
          <w:szCs w:val="24"/>
        </w:rPr>
      </w:pPr>
      <w:r>
        <w:rPr>
          <w:rFonts w:eastAsia="Times New Roman"/>
          <w:szCs w:val="24"/>
        </w:rPr>
        <w:t>Nach andere</w:t>
      </w:r>
      <w:r w:rsidR="009A0986">
        <w:rPr>
          <w:rFonts w:eastAsia="Times New Roman"/>
          <w:szCs w:val="24"/>
        </w:rPr>
        <w:t xml:space="preserve">r Ansicht ist mit Blick auf das </w:t>
      </w:r>
      <w:r w:rsidR="00605BC0">
        <w:rPr>
          <w:rFonts w:eastAsia="Times New Roman"/>
          <w:szCs w:val="24"/>
        </w:rPr>
        <w:t>konkretisierende</w:t>
      </w:r>
      <w:r w:rsidR="00490AFD">
        <w:rPr>
          <w:rFonts w:eastAsia="Times New Roman"/>
          <w:szCs w:val="24"/>
        </w:rPr>
        <w:t xml:space="preserve"> Postulat</w:t>
      </w:r>
      <w:r w:rsidRPr="004B46ED">
        <w:rPr>
          <w:rFonts w:eastAsia="Times New Roman"/>
          <w:szCs w:val="24"/>
        </w:rPr>
        <w:t xml:space="preserve"> des Bundesverfassungsgerichts</w:t>
      </w:r>
      <w:r w:rsidRPr="004B46ED">
        <w:rPr>
          <w:rFonts w:eastAsia="Times New Roman"/>
          <w:szCs w:val="24"/>
          <w:vertAlign w:val="superscript"/>
        </w:rPr>
        <w:footnoteReference w:id="55"/>
      </w:r>
      <w:r w:rsidRPr="004B46ED">
        <w:rPr>
          <w:rFonts w:eastAsia="Times New Roman"/>
          <w:szCs w:val="24"/>
        </w:rPr>
        <w:t xml:space="preserve"> einerseits zu berücksichtigen, dass mit der verpflichtenden Einführung von Messsystemen i.S.v. 21d Abs.1 EnWG erstmals die staatliche Pflicht zur Eröffnung von IKT-Schnittstellen in den betroffenen Haushalten eingeführt ist. Eine Verpflichtung, die als sehr inte</w:t>
      </w:r>
      <w:r w:rsidRPr="004B46ED">
        <w:rPr>
          <w:rFonts w:eastAsia="Times New Roman"/>
          <w:szCs w:val="24"/>
        </w:rPr>
        <w:t>n</w:t>
      </w:r>
      <w:r w:rsidRPr="004B46ED">
        <w:rPr>
          <w:rFonts w:eastAsia="Times New Roman"/>
          <w:szCs w:val="24"/>
        </w:rPr>
        <w:t>sive Maßnahme im Hinblick auf die Gefährdung der informationellen Selbstbestimmung zu werten sein könnte. Auf der anderen Seite soll es nach der Gesetzesbegründung „</w:t>
      </w:r>
      <w:r w:rsidRPr="004B46ED">
        <w:rPr>
          <w:rFonts w:eastAsia="Times New Roman"/>
          <w:i/>
          <w:szCs w:val="24"/>
        </w:rPr>
        <w:t>keinen Automatismus zwischen dem Einbau eines intelligenten Zählers und der Nutzung der Fer</w:t>
      </w:r>
      <w:r w:rsidR="00605BC0">
        <w:rPr>
          <w:rFonts w:eastAsia="Times New Roman"/>
          <w:i/>
          <w:szCs w:val="24"/>
        </w:rPr>
        <w:t>nauslesung von Verbrauch</w:t>
      </w:r>
      <w:r w:rsidR="00605BC0">
        <w:rPr>
          <w:rFonts w:eastAsia="Times New Roman"/>
          <w:i/>
          <w:szCs w:val="24"/>
        </w:rPr>
        <w:t>s</w:t>
      </w:r>
      <w:r w:rsidR="00605BC0">
        <w:rPr>
          <w:rFonts w:eastAsia="Times New Roman"/>
          <w:i/>
          <w:szCs w:val="24"/>
        </w:rPr>
        <w:t xml:space="preserve">daten“ </w:t>
      </w:r>
      <w:r w:rsidRPr="004B46ED">
        <w:rPr>
          <w:rFonts w:eastAsia="Times New Roman"/>
          <w:szCs w:val="24"/>
        </w:rPr>
        <w:t>geben.</w:t>
      </w:r>
      <w:r w:rsidRPr="004B46ED">
        <w:rPr>
          <w:rFonts w:eastAsia="Times New Roman"/>
          <w:szCs w:val="24"/>
          <w:vertAlign w:val="superscript"/>
        </w:rPr>
        <w:footnoteReference w:id="56"/>
      </w:r>
      <w:r w:rsidRPr="004B46ED">
        <w:rPr>
          <w:rFonts w:eastAsia="Times New Roman"/>
          <w:i/>
          <w:szCs w:val="24"/>
        </w:rPr>
        <w:t xml:space="preserve"> </w:t>
      </w:r>
      <w:r>
        <w:rPr>
          <w:rFonts w:eastAsia="Times New Roman"/>
          <w:szCs w:val="24"/>
        </w:rPr>
        <w:t>Dies senke</w:t>
      </w:r>
      <w:r w:rsidRPr="004B46ED">
        <w:rPr>
          <w:rFonts w:eastAsia="Times New Roman"/>
          <w:szCs w:val="24"/>
        </w:rPr>
        <w:t xml:space="preserve"> die Eingriffsintensität derart ab, dass die Wahl der Verordnung als Mittel der Konkretisierung datenschutzrechtlicher Pri</w:t>
      </w:r>
      <w:r w:rsidRPr="004B46ED">
        <w:rPr>
          <w:rFonts w:eastAsia="Times New Roman"/>
          <w:szCs w:val="24"/>
        </w:rPr>
        <w:t>n</w:t>
      </w:r>
      <w:r w:rsidRPr="004B46ED">
        <w:rPr>
          <w:rFonts w:eastAsia="Times New Roman"/>
          <w:szCs w:val="24"/>
        </w:rPr>
        <w:t>zipien gr</w:t>
      </w:r>
      <w:r>
        <w:rPr>
          <w:rFonts w:eastAsia="Times New Roman"/>
          <w:szCs w:val="24"/>
        </w:rPr>
        <w:t>undsätzlich angemessen erscheine</w:t>
      </w:r>
      <w:r w:rsidRPr="004B46ED">
        <w:rPr>
          <w:rFonts w:eastAsia="Times New Roman"/>
          <w:szCs w:val="24"/>
        </w:rPr>
        <w:t>. Dies gilt umso mehr</w:t>
      </w:r>
      <w:r w:rsidR="00605BC0">
        <w:rPr>
          <w:rFonts w:eastAsia="Times New Roman"/>
          <w:szCs w:val="24"/>
        </w:rPr>
        <w:t>, als es sich beim zukünftigen Smart Grid</w:t>
      </w:r>
      <w:r w:rsidRPr="004B46ED">
        <w:rPr>
          <w:rFonts w:eastAsia="Times New Roman"/>
          <w:szCs w:val="24"/>
        </w:rPr>
        <w:t xml:space="preserve"> um ein sich hochdynamisch entwickelndes System handeln wird. Im Hinblick auf die für Energieeffizienzmaßnahmen zugunsten von Klimaschutz und Versorgungssicherheit notwendige Innov</w:t>
      </w:r>
      <w:r w:rsidRPr="004B46ED">
        <w:rPr>
          <w:rFonts w:eastAsia="Times New Roman"/>
          <w:szCs w:val="24"/>
        </w:rPr>
        <w:t>a</w:t>
      </w:r>
      <w:r w:rsidRPr="004B46ED">
        <w:rPr>
          <w:rFonts w:eastAsia="Times New Roman"/>
          <w:szCs w:val="24"/>
        </w:rPr>
        <w:t xml:space="preserve">tionsoffenheit der Systeme und Prozesse </w:t>
      </w:r>
      <w:r>
        <w:rPr>
          <w:rFonts w:eastAsia="Times New Roman"/>
          <w:szCs w:val="24"/>
        </w:rPr>
        <w:t xml:space="preserve">sei </w:t>
      </w:r>
      <w:r w:rsidRPr="004B46ED">
        <w:rPr>
          <w:rFonts w:eastAsia="Times New Roman"/>
          <w:szCs w:val="24"/>
        </w:rPr>
        <w:t>es deshalb nachvollziehbar und richtig, grundsätzlich die Detaillierung von Begleitprinzipien zum Schutz der informationellen Selbstbestimmung auf das flexiblere Instrumentarium der Verordnung zu verweisen.</w:t>
      </w:r>
      <w:r>
        <w:rPr>
          <w:rStyle w:val="Funotenzeichen"/>
          <w:rFonts w:eastAsia="Times New Roman"/>
          <w:szCs w:val="24"/>
        </w:rPr>
        <w:footnoteReference w:id="57"/>
      </w:r>
    </w:p>
    <w:p w:rsidR="007D1FC9" w:rsidRDefault="0039307F" w:rsidP="00B10FE7">
      <w:pPr>
        <w:rPr>
          <w:rFonts w:eastAsia="Times New Roman"/>
          <w:szCs w:val="24"/>
        </w:rPr>
      </w:pPr>
      <w:r>
        <w:rPr>
          <w:rFonts w:eastAsia="Times New Roman"/>
          <w:szCs w:val="24"/>
        </w:rPr>
        <w:t xml:space="preserve">Auch wenn es auf die Streitentscheidung nicht ankommt, ist im Hinblick auf die oben geforderte </w:t>
      </w:r>
      <w:r w:rsidRPr="003F7FF9">
        <w:rPr>
          <w:rFonts w:eastAsia="Times New Roman"/>
          <w:b/>
          <w:i/>
          <w:szCs w:val="24"/>
        </w:rPr>
        <w:t>Flexibilisierung von Entscheidungen</w:t>
      </w:r>
      <w:r>
        <w:rPr>
          <w:rFonts w:eastAsia="Times New Roman"/>
          <w:b/>
          <w:i/>
          <w:szCs w:val="24"/>
        </w:rPr>
        <w:t xml:space="preserve"> </w:t>
      </w:r>
      <w:r w:rsidRPr="003F7FF9">
        <w:rPr>
          <w:rFonts w:eastAsia="Times New Roman"/>
          <w:szCs w:val="24"/>
        </w:rPr>
        <w:t>bei begrenz</w:t>
      </w:r>
      <w:r w:rsidRPr="0039307F">
        <w:rPr>
          <w:rFonts w:eastAsia="Times New Roman"/>
          <w:szCs w:val="24"/>
        </w:rPr>
        <w:t xml:space="preserve">ten </w:t>
      </w:r>
      <w:r w:rsidRPr="0039307F">
        <w:rPr>
          <w:rFonts w:eastAsia="Times New Roman"/>
          <w:szCs w:val="24"/>
        </w:rPr>
        <w:lastRenderedPageBreak/>
        <w:t>Prognosehorizonten zu</w:t>
      </w:r>
      <w:r w:rsidRPr="003F7FF9">
        <w:rPr>
          <w:rFonts w:eastAsia="Times New Roman"/>
          <w:szCs w:val="24"/>
        </w:rPr>
        <w:t xml:space="preserve"> soziotechnischen Entwicklung</w:t>
      </w:r>
      <w:r>
        <w:rPr>
          <w:rFonts w:eastAsia="Times New Roman"/>
          <w:szCs w:val="24"/>
        </w:rPr>
        <w:t>en im Rahmen von auch technischen Detailregelungen bedenkenswert, dass bei einer Bewe</w:t>
      </w:r>
      <w:r>
        <w:rPr>
          <w:rFonts w:eastAsia="Times New Roman"/>
          <w:szCs w:val="24"/>
        </w:rPr>
        <w:t>r</w:t>
      </w:r>
      <w:r>
        <w:rPr>
          <w:rFonts w:eastAsia="Times New Roman"/>
          <w:szCs w:val="24"/>
        </w:rPr>
        <w:t>tung nach dem Telos der Normierungen neben dem Schutz der informati</w:t>
      </w:r>
      <w:r>
        <w:rPr>
          <w:rFonts w:eastAsia="Times New Roman"/>
          <w:szCs w:val="24"/>
        </w:rPr>
        <w:t>o</w:t>
      </w:r>
      <w:r>
        <w:rPr>
          <w:rFonts w:eastAsia="Times New Roman"/>
          <w:szCs w:val="24"/>
        </w:rPr>
        <w:t xml:space="preserve">nellen Selbstbestimmung </w:t>
      </w:r>
      <w:r w:rsidR="003F7FF9">
        <w:rPr>
          <w:rFonts w:eastAsia="Times New Roman"/>
          <w:szCs w:val="24"/>
        </w:rPr>
        <w:t xml:space="preserve">zudem </w:t>
      </w:r>
      <w:r>
        <w:rPr>
          <w:rFonts w:eastAsia="Times New Roman"/>
          <w:szCs w:val="24"/>
        </w:rPr>
        <w:t>die konkurrierenden klima- und</w:t>
      </w:r>
      <w:r w:rsidR="006D171B">
        <w:rPr>
          <w:rFonts w:eastAsia="Times New Roman"/>
          <w:szCs w:val="24"/>
        </w:rPr>
        <w:t xml:space="preserve"> </w:t>
      </w:r>
      <w:r>
        <w:rPr>
          <w:rFonts w:eastAsia="Times New Roman"/>
          <w:szCs w:val="24"/>
        </w:rPr>
        <w:t>umwel</w:t>
      </w:r>
      <w:r>
        <w:rPr>
          <w:rFonts w:eastAsia="Times New Roman"/>
          <w:szCs w:val="24"/>
        </w:rPr>
        <w:t>t</w:t>
      </w:r>
      <w:r>
        <w:rPr>
          <w:rFonts w:eastAsia="Times New Roman"/>
          <w:szCs w:val="24"/>
        </w:rPr>
        <w:t>schützenden Aspekte einzubeziehen sein könnten</w:t>
      </w:r>
      <w:r w:rsidR="00605BC0">
        <w:rPr>
          <w:rFonts w:eastAsia="Times New Roman"/>
          <w:szCs w:val="24"/>
        </w:rPr>
        <w:t>,</w:t>
      </w:r>
      <w:r>
        <w:rPr>
          <w:rStyle w:val="Funotenzeichen"/>
          <w:rFonts w:eastAsia="Times New Roman"/>
          <w:szCs w:val="24"/>
        </w:rPr>
        <w:footnoteReference w:id="58"/>
      </w:r>
      <w:r>
        <w:rPr>
          <w:rFonts w:eastAsia="Times New Roman"/>
          <w:szCs w:val="24"/>
        </w:rPr>
        <w:t xml:space="preserve"> weshalb im Hinblick auf notwendige effizienzsteigernde Innovationen wiederum der flexiblere Ve</w:t>
      </w:r>
      <w:r>
        <w:rPr>
          <w:rFonts w:eastAsia="Times New Roman"/>
          <w:szCs w:val="24"/>
        </w:rPr>
        <w:t>r</w:t>
      </w:r>
      <w:r>
        <w:rPr>
          <w:rFonts w:eastAsia="Times New Roman"/>
          <w:szCs w:val="24"/>
        </w:rPr>
        <w:t>ordnungsweg in Teilbereichen als angemessen hätte gelten können.</w:t>
      </w:r>
    </w:p>
    <w:p w:rsidR="004F5307" w:rsidRPr="00FE7D1F" w:rsidRDefault="003455EF" w:rsidP="00F30386">
      <w:pPr>
        <w:pStyle w:val="berschrift5"/>
        <w:ind w:hanging="511"/>
      </w:pPr>
      <w:bookmarkStart w:id="51" w:name="_Toc490827366"/>
      <w:r>
        <w:t>Weitere</w:t>
      </w:r>
      <w:r w:rsidR="004F5307" w:rsidRPr="00FE7D1F">
        <w:t xml:space="preserve"> </w:t>
      </w:r>
      <w:r w:rsidR="00774A50" w:rsidRPr="00FE7D1F">
        <w:t xml:space="preserve">materiellrechtliche </w:t>
      </w:r>
      <w:r w:rsidR="004F5307" w:rsidRPr="00FE7D1F">
        <w:t>Kritikpunkte</w:t>
      </w:r>
      <w:bookmarkEnd w:id="51"/>
      <w:r w:rsidR="004F5307" w:rsidRPr="00FE7D1F">
        <w:t xml:space="preserve"> </w:t>
      </w:r>
    </w:p>
    <w:p w:rsidR="003A6B56" w:rsidRDefault="004F5307" w:rsidP="006E7507">
      <w:r w:rsidRPr="00FE7D1F">
        <w:t xml:space="preserve">An den </w:t>
      </w:r>
      <w:r w:rsidR="00B2553F">
        <w:t xml:space="preserve">folgenden </w:t>
      </w:r>
      <w:r w:rsidR="00D566FB">
        <w:t>Beispielen</w:t>
      </w:r>
      <w:r w:rsidRPr="00FE7D1F">
        <w:t xml:space="preserve"> </w:t>
      </w:r>
      <w:r w:rsidR="00D566FB">
        <w:t>soll über die vorgenannten Defizite hinaus anhand von weiteren</w:t>
      </w:r>
      <w:r w:rsidR="006D171B">
        <w:t xml:space="preserve"> </w:t>
      </w:r>
      <w:r w:rsidRPr="00FE7D1F">
        <w:t>materiellen datenschutzrechtlichen Regelungen</w:t>
      </w:r>
      <w:r w:rsidR="00D566FB">
        <w:t xml:space="preserve"> illu</w:t>
      </w:r>
      <w:r w:rsidR="00D566FB">
        <w:t>s</w:t>
      </w:r>
      <w:r w:rsidR="00D566FB">
        <w:t>triert werden</w:t>
      </w:r>
      <w:r w:rsidRPr="00FE7D1F">
        <w:t xml:space="preserve">, </w:t>
      </w:r>
      <w:r w:rsidR="00D566FB">
        <w:t xml:space="preserve">dass </w:t>
      </w:r>
      <w:r w:rsidRPr="00FE7D1F">
        <w:t xml:space="preserve">neben den oben dargelegten Defiziten, weitere Umstände </w:t>
      </w:r>
      <w:r w:rsidR="00D566FB">
        <w:t>vorliegen</w:t>
      </w:r>
      <w:r w:rsidR="00605BC0">
        <w:t xml:space="preserve">, die - </w:t>
      </w:r>
      <w:r w:rsidRPr="00FE7D1F">
        <w:t>aufgrund der mangelnden Erfassung der tatsächlichen tec</w:t>
      </w:r>
      <w:r w:rsidRPr="00FE7D1F">
        <w:t>h</w:t>
      </w:r>
      <w:r w:rsidRPr="00FE7D1F">
        <w:t>nischen Gege</w:t>
      </w:r>
      <w:r w:rsidR="00490AFD">
        <w:t>benheiten und Marktprozesse</w:t>
      </w:r>
      <w:r w:rsidR="00605BC0">
        <w:t xml:space="preserve"> - zu einer ganz oder teilweise</w:t>
      </w:r>
      <w:r w:rsidRPr="00FE7D1F">
        <w:t xml:space="preserve"> mangelnden Steuerungsfähigkeit führen. </w:t>
      </w:r>
      <w:r w:rsidR="00B2553F">
        <w:t xml:space="preserve">Das Fehlen </w:t>
      </w:r>
      <w:r w:rsidR="003A6B56" w:rsidRPr="00FE7D1F">
        <w:t>wichtige</w:t>
      </w:r>
      <w:r w:rsidR="00605BC0">
        <w:t>r</w:t>
      </w:r>
      <w:r w:rsidR="003A6B56" w:rsidRPr="00FE7D1F">
        <w:t xml:space="preserve"> Vorgaben, wie etwa Ansprüche an Löschung, </w:t>
      </w:r>
      <w:r w:rsidR="00B2553F" w:rsidRPr="00FE7D1F">
        <w:t>Berichtigung</w:t>
      </w:r>
      <w:r w:rsidR="003A6B56" w:rsidRPr="00FE7D1F">
        <w:t xml:space="preserve"> und Widerspruch</w:t>
      </w:r>
      <w:r w:rsidR="00B2553F">
        <w:t>, ohne einen Verweis auf das BDSG bzw. lediglic</w:t>
      </w:r>
      <w:r w:rsidR="003813B2">
        <w:t>h der Zuweisung durch § 21</w:t>
      </w:r>
      <w:r w:rsidR="00B2553F">
        <w:t>i Nr. 4 EnWG</w:t>
      </w:r>
      <w:r w:rsidR="00D566FB">
        <w:t xml:space="preserve"> </w:t>
      </w:r>
      <w:r w:rsidR="00B2553F">
        <w:t xml:space="preserve">auf den Verordnungsgeber, </w:t>
      </w:r>
      <w:r w:rsidR="00B2553F">
        <w:rPr>
          <w:rStyle w:val="Funotenzeichen"/>
        </w:rPr>
        <w:footnoteReference w:id="59"/>
      </w:r>
      <w:r w:rsidR="00B2553F">
        <w:t xml:space="preserve"> unterstreich</w:t>
      </w:r>
      <w:r w:rsidR="00D566FB">
        <w:t>en</w:t>
      </w:r>
      <w:r w:rsidR="00B2553F">
        <w:t xml:space="preserve"> das Argument der geringe Regelungstiefe und damit auch der </w:t>
      </w:r>
      <w:r w:rsidR="00B2553F" w:rsidRPr="003F7FF9">
        <w:rPr>
          <w:b/>
          <w:i/>
        </w:rPr>
        <w:t>mangelnden Steuerungsfähi</w:t>
      </w:r>
      <w:r w:rsidR="00B2553F" w:rsidRPr="003F7FF9">
        <w:rPr>
          <w:b/>
          <w:i/>
        </w:rPr>
        <w:t>g</w:t>
      </w:r>
      <w:r w:rsidR="00B2553F" w:rsidRPr="003F7FF9">
        <w:rPr>
          <w:b/>
          <w:i/>
        </w:rPr>
        <w:t>keit</w:t>
      </w:r>
      <w:r w:rsidR="00B2553F">
        <w:t xml:space="preserve"> der materiellrechtlichen Normen</w:t>
      </w:r>
      <w:r w:rsidR="00D566FB">
        <w:t xml:space="preserve"> des EnWG </w:t>
      </w:r>
      <w:r w:rsidR="00231FF9">
        <w:t>Einzugehen ist dabei auf das Schriftlichkeitserfordernis der Einwilligung, die an die verantwortliche Stelle gerichteten Informationspflichten und bestehende Nutzerrechte</w:t>
      </w:r>
      <w:r w:rsidR="00605BC0">
        <w:t>,</w:t>
      </w:r>
      <w:r w:rsidR="00231FF9">
        <w:t xml:space="preserve"> in</w:t>
      </w:r>
      <w:r w:rsidR="00231FF9">
        <w:t>s</w:t>
      </w:r>
      <w:r w:rsidR="00231FF9">
        <w:t xml:space="preserve">besondere in Form von Löschpflichten. </w:t>
      </w:r>
    </w:p>
    <w:p w:rsidR="00C207F7" w:rsidRDefault="00605BC0" w:rsidP="00417FA2">
      <w:pPr>
        <w:pStyle w:val="berschrift6"/>
        <w:numPr>
          <w:ilvl w:val="0"/>
          <w:numId w:val="35"/>
        </w:numPr>
        <w:ind w:left="851" w:hanging="851"/>
      </w:pPr>
      <w:bookmarkStart w:id="52" w:name="_Ref466558369"/>
      <w:bookmarkStart w:id="53" w:name="_Toc490827367"/>
      <w:r>
        <w:t>Einwilligung in das</w:t>
      </w:r>
      <w:r w:rsidR="00C207F7">
        <w:t xml:space="preserve"> Fernwirken</w:t>
      </w:r>
      <w:bookmarkEnd w:id="52"/>
      <w:bookmarkEnd w:id="53"/>
    </w:p>
    <w:p w:rsidR="00C207F7" w:rsidRPr="00FE7D1F" w:rsidRDefault="00C207F7" w:rsidP="006E7507">
      <w:r w:rsidRPr="00C207F7">
        <w:t>Die Unterrichtungspflicht der Regelung des § 21g Abs. 6 S. 5 EnWG</w:t>
      </w:r>
      <w:r w:rsidR="006D171B">
        <w:t xml:space="preserve"> </w:t>
      </w:r>
      <w:r w:rsidRPr="00C207F7">
        <w:t xml:space="preserve">ist nicht nur auf das Fernmessen, sondern auch auf das Fernwirken bezogen. Dies scheint in Bezug auf die Zweckbestimmung des § 21g Abs. 1 Nr. 5 EnWG, der die Zulässigkeit der Verwendung personenbezogener Daten aus </w:t>
      </w:r>
      <w:r w:rsidRPr="00C207F7">
        <w:lastRenderedPageBreak/>
        <w:t>dem Messsystem zum Zwecke der Steuerung von unterbrechbaren Ve</w:t>
      </w:r>
      <w:r w:rsidRPr="00C207F7">
        <w:t>r</w:t>
      </w:r>
      <w:r w:rsidRPr="00C207F7">
        <w:t>brauchseinrichtungen im Sinne von § 14a EnWG legitimiert</w:t>
      </w:r>
      <w:r w:rsidR="00DA5591">
        <w:t>e</w:t>
      </w:r>
      <w:r w:rsidRPr="00C207F7">
        <w:t>, auch naheli</w:t>
      </w:r>
      <w:r w:rsidRPr="00C207F7">
        <w:t>e</w:t>
      </w:r>
      <w:r w:rsidRPr="00C207F7">
        <w:t>gend. Allerdings geht die Einwilligung in das „Fernwirken“ aus § 21g Abs. 6 S. 5 EnWG nach der Wortbedeutung offensichtlich über eine die inform</w:t>
      </w:r>
      <w:r w:rsidRPr="00C207F7">
        <w:t>a</w:t>
      </w:r>
      <w:r w:rsidRPr="00C207F7">
        <w:t>tionelle Selbstbestimmung der Betroffenen flankierende Maßnahme hinaus. Diese Datenverwendung betrifft ausschließlich eigentumsrechtlich motivie</w:t>
      </w:r>
      <w:r w:rsidRPr="00C207F7">
        <w:t>r</w:t>
      </w:r>
      <w:r w:rsidRPr="00C207F7">
        <w:t xml:space="preserve">te Sachverhalte und </w:t>
      </w:r>
      <w:r w:rsidR="00DA5591">
        <w:t>war</w:t>
      </w:r>
      <w:r w:rsidR="00DA5591" w:rsidRPr="00C207F7">
        <w:t xml:space="preserve"> </w:t>
      </w:r>
      <w:r w:rsidRPr="00C207F7">
        <w:t>in den Regelungen zum Datenschutz eigentlich systemwidrig</w:t>
      </w:r>
      <w:r w:rsidR="00225756">
        <w:t>.</w:t>
      </w:r>
      <w:r>
        <w:rPr>
          <w:rStyle w:val="Funotenzeichen"/>
        </w:rPr>
        <w:footnoteReference w:id="60"/>
      </w:r>
      <w:r w:rsidRPr="00C207F7">
        <w:t xml:space="preserve"> </w:t>
      </w:r>
      <w:r>
        <w:t>Die Integration einer systemwidrigen Regelung des Ve</w:t>
      </w:r>
      <w:r>
        <w:t>r</w:t>
      </w:r>
      <w:r>
        <w:t xml:space="preserve">braucherschutzrechts unter dem Titel datenschutzrechtlicher </w:t>
      </w:r>
      <w:r w:rsidR="00682330">
        <w:t>Tatbestände</w:t>
      </w:r>
      <w:r>
        <w:t xml:space="preserve"> deutet hier auf einem </w:t>
      </w:r>
      <w:r w:rsidRPr="003F7FF9">
        <w:rPr>
          <w:b/>
          <w:i/>
        </w:rPr>
        <w:t>Mangel im legislativen Normwissen</w:t>
      </w:r>
      <w:r>
        <w:t xml:space="preserve"> hin.</w:t>
      </w:r>
    </w:p>
    <w:p w:rsidR="004F5307" w:rsidRPr="00FE7D1F" w:rsidRDefault="004F5307" w:rsidP="00417FA2">
      <w:pPr>
        <w:pStyle w:val="berschrift6"/>
      </w:pPr>
      <w:bookmarkStart w:id="54" w:name="_Toc490827368"/>
      <w:r w:rsidRPr="00FE7D1F">
        <w:t>Form der geregelten Einwilligung</w:t>
      </w:r>
      <w:bookmarkEnd w:id="54"/>
      <w:r w:rsidRPr="00FE7D1F">
        <w:t xml:space="preserve"> </w:t>
      </w:r>
    </w:p>
    <w:p w:rsidR="004F5307" w:rsidRPr="00FE7D1F" w:rsidRDefault="004F5307" w:rsidP="006E7507">
      <w:r w:rsidRPr="00FE7D1F">
        <w:t>Die in der Vorphase des Fernmessens erforderliche Einwilligung des Letz</w:t>
      </w:r>
      <w:r w:rsidRPr="00FE7D1F">
        <w:t>t</w:t>
      </w:r>
      <w:r w:rsidRPr="00FE7D1F">
        <w:t xml:space="preserve">verbrauchers nach § 21g Abs. 6 S. 5 EnWG </w:t>
      </w:r>
      <w:r w:rsidR="00B2553F">
        <w:t xml:space="preserve">war </w:t>
      </w:r>
      <w:r w:rsidRPr="00FE7D1F">
        <w:t>nicht ausdrücklich mit e</w:t>
      </w:r>
      <w:r w:rsidRPr="00FE7D1F">
        <w:t>i</w:t>
      </w:r>
      <w:r w:rsidRPr="00FE7D1F">
        <w:t>nem Schriftlichkeitserfordernis versehen. Die Einwilligung bei der Besti</w:t>
      </w:r>
      <w:r w:rsidRPr="00FE7D1F">
        <w:t>m</w:t>
      </w:r>
      <w:r w:rsidRPr="00FE7D1F">
        <w:t>mung der zum Datenumgang berechtigten Stelle in § 21g Abs. 2 EnWG muss</w:t>
      </w:r>
      <w:r w:rsidR="00B2553F">
        <w:t>te</w:t>
      </w:r>
      <w:r w:rsidRPr="00FE7D1F">
        <w:t xml:space="preserve"> hingegen den Vorgaben des § 4a BDSG, mithin der Schriftlichkeit, entsprechen. </w:t>
      </w:r>
      <w:r w:rsidR="00681BD6">
        <w:t>A</w:t>
      </w:r>
      <w:r w:rsidRPr="00FE7D1F">
        <w:t>us systematischer Perspektive</w:t>
      </w:r>
      <w:r w:rsidR="00681BD6">
        <w:t xml:space="preserve"> stellte sich somit die Frage</w:t>
      </w:r>
      <w:r w:rsidRPr="00FE7D1F">
        <w:t>, ob im ersten Fall bewusst keine Detaillierung erfolgt ist, um dem Verordnung</w:t>
      </w:r>
      <w:r w:rsidRPr="00FE7D1F">
        <w:t>s</w:t>
      </w:r>
      <w:r w:rsidRPr="00FE7D1F">
        <w:t>geber einen Spielraum bei der Ausgestaltung einer elektronischen Einwill</w:t>
      </w:r>
      <w:r w:rsidRPr="00FE7D1F">
        <w:t>i</w:t>
      </w:r>
      <w:r w:rsidRPr="00FE7D1F">
        <w:t>gung nach dem Vorbild des TMG zu eröffnen, oder ob nach dem Gesetze</w:t>
      </w:r>
      <w:r w:rsidRPr="00FE7D1F">
        <w:t>s</w:t>
      </w:r>
      <w:r w:rsidRPr="00FE7D1F">
        <w:t xml:space="preserve">zweck ein expliziter Verweis auf das BDSG deshalb entbehrlich war, weil jedenfalls die in § 4a BDSG genannten Informationspflichten schon in die Vorgaben des § 21g Abs. 6 S. 5 </w:t>
      </w:r>
      <w:r w:rsidR="00F203A7">
        <w:t xml:space="preserve">EnWG </w:t>
      </w:r>
      <w:r w:rsidRPr="00FE7D1F">
        <w:t>eingeflossen sind. Für ein Schrif</w:t>
      </w:r>
      <w:r w:rsidRPr="00FE7D1F">
        <w:t>t</w:t>
      </w:r>
      <w:r w:rsidRPr="00FE7D1F">
        <w:t xml:space="preserve">formerfordernis auch bei der Einwilligung nach § 21g Abs. 6 S. 5 EnWG </w:t>
      </w:r>
      <w:r w:rsidR="00681BD6">
        <w:t xml:space="preserve">sprach </w:t>
      </w:r>
      <w:r w:rsidRPr="00FE7D1F">
        <w:t>jedenfalls, dass die Gefahren bei</w:t>
      </w:r>
      <w:r w:rsidR="00225756">
        <w:t>m Wechsel der „b</w:t>
      </w:r>
      <w:r w:rsidRPr="00FE7D1F">
        <w:t>erechtigen Stelle“ und bei der Zulassung des Fernmessens durch den Letztv</w:t>
      </w:r>
      <w:r w:rsidR="00681BD6">
        <w:t>erbraucher sich nicht unterschie</w:t>
      </w:r>
      <w:r w:rsidRPr="00FE7D1F">
        <w:t>den.</w:t>
      </w:r>
    </w:p>
    <w:p w:rsidR="004F5307" w:rsidRPr="00FE7D1F" w:rsidRDefault="004F5307" w:rsidP="006E7507">
      <w:r w:rsidRPr="00FE7D1F">
        <w:lastRenderedPageBreak/>
        <w:t>Das Schriftlichkeitserfordernis nach § 4a BDSG birgt allerdings bei elektr</w:t>
      </w:r>
      <w:r w:rsidRPr="00FE7D1F">
        <w:t>o</w:t>
      </w:r>
      <w:r w:rsidRPr="00FE7D1F">
        <w:t xml:space="preserve">nischen Transaktionen grundsätzlich die </w:t>
      </w:r>
      <w:r w:rsidR="00720D09">
        <w:t xml:space="preserve">Gefahr </w:t>
      </w:r>
      <w:r w:rsidRPr="00FE7D1F">
        <w:t>eines Medienbruchs. Zwar erlaubt § 126 Abs. 3 BGB auch die elektronische Form gemäß § 126a BGB, allerdings ist dann eine qualifizierte elektronische Signatur erforderlich, die wiederum keinerlei Verbreitung besitzt.</w:t>
      </w:r>
      <w:r w:rsidRPr="00FE7D1F">
        <w:rPr>
          <w:vertAlign w:val="superscript"/>
        </w:rPr>
        <w:footnoteReference w:id="61"/>
      </w:r>
      <w:r w:rsidRPr="00FE7D1F">
        <w:t xml:space="preserve"> In Anbetracht der Tatsache, dass der liberalisierte Energiemarkt gerade darauf angelegt ist, spontan seinen Lieferanten wechseln zu können und dass eine zunehmende Nutzung dieser Option und Vereinfachung gerade über web-basierte Anwendungen geleistet werden soll, wirkt</w:t>
      </w:r>
      <w:r w:rsidR="00681BD6">
        <w:t>e</w:t>
      </w:r>
      <w:r w:rsidRPr="00FE7D1F">
        <w:t xml:space="preserve"> der mit der Schriftform verbundene Medienbruch ant</w:t>
      </w:r>
      <w:r w:rsidRPr="00FE7D1F">
        <w:t>i</w:t>
      </w:r>
      <w:r w:rsidRPr="00FE7D1F">
        <w:t>quiert. Im Hinblick auf die Elektromobilitätszenarien der Zukunft, die sich durch hohe Transaktionsfrequenzen insbesondere bei der Nutzung von ö</w:t>
      </w:r>
      <w:r w:rsidRPr="00FE7D1F">
        <w:t>f</w:t>
      </w:r>
      <w:r w:rsidRPr="00FE7D1F">
        <w:t>fentliche</w:t>
      </w:r>
      <w:r w:rsidR="00681BD6">
        <w:t xml:space="preserve">n Ladestationen auszeichnen, ist </w:t>
      </w:r>
      <w:r w:rsidRPr="00FE7D1F">
        <w:t>eine damit verbundene (unter-) schriftliche Einwilligung gegenüber dem jeweiligen Ladestationsbetreiber als absolutes Ausschlusskriterium für die Entwicklung dieser Märkte zu betrachten. Aufgrund des a</w:t>
      </w:r>
      <w:r w:rsidR="00681BD6">
        <w:t>ufgezeigten Klärungsbedarfs konnte</w:t>
      </w:r>
      <w:r w:rsidRPr="00FE7D1F">
        <w:t xml:space="preserve"> die Vo</w:t>
      </w:r>
      <w:r w:rsidRPr="00FE7D1F">
        <w:t>r</w:t>
      </w:r>
      <w:r w:rsidRPr="00FE7D1F">
        <w:t>schri</w:t>
      </w:r>
      <w:r w:rsidR="00681BD6">
        <w:t xml:space="preserve">ft in der Praxis nicht bestehen und </w:t>
      </w:r>
      <w:r w:rsidRPr="00FE7D1F">
        <w:t xml:space="preserve">im Energiemarkt </w:t>
      </w:r>
      <w:r w:rsidR="00681BD6">
        <w:t xml:space="preserve">letztendlich auch </w:t>
      </w:r>
      <w:r w:rsidRPr="00FE7D1F">
        <w:t>nicht durch</w:t>
      </w:r>
      <w:r w:rsidR="00681BD6">
        <w:t>greifen</w:t>
      </w:r>
      <w:r w:rsidRPr="00FE7D1F">
        <w:t>. Damit bestand die Forderung</w:t>
      </w:r>
      <w:r w:rsidR="00225756">
        <w:t>,</w:t>
      </w:r>
      <w:r w:rsidRPr="00FE7D1F">
        <w:t xml:space="preserve"> in Form der angedachten Verordnung die Implementierung eines elektroni</w:t>
      </w:r>
      <w:r w:rsidR="00225756">
        <w:t>schen Unterschriftensubst</w:t>
      </w:r>
      <w:r w:rsidR="00225756">
        <w:t>i</w:t>
      </w:r>
      <w:r w:rsidR="00225756">
        <w:t xml:space="preserve">tuts </w:t>
      </w:r>
      <w:r w:rsidRPr="00FE7D1F">
        <w:t>für die Einwilligung in das Fernmessen gemäß § 21g Abs. 6 S. 5 EnWG</w:t>
      </w:r>
      <w:r w:rsidR="00BD47C0">
        <w:t xml:space="preserve"> </w:t>
      </w:r>
      <w:r w:rsidRPr="00FE7D1F">
        <w:t>aufzunehmen.</w:t>
      </w:r>
      <w:r w:rsidR="00681BD6">
        <w:rPr>
          <w:rStyle w:val="Funotenzeichen"/>
        </w:rPr>
        <w:footnoteReference w:id="62"/>
      </w:r>
      <w:r w:rsidRPr="00FE7D1F">
        <w:t xml:space="preserve"> </w:t>
      </w:r>
      <w:bookmarkStart w:id="55" w:name="_Toc308694144"/>
      <w:r w:rsidR="00BD47C0">
        <w:t>Im Ergebnis zeigt der Verweis auf das antiquierte Schrif</w:t>
      </w:r>
      <w:r w:rsidR="00BD47C0">
        <w:t>t</w:t>
      </w:r>
      <w:r w:rsidR="00BD47C0">
        <w:t xml:space="preserve">lichkeitserfordernis ein </w:t>
      </w:r>
      <w:r w:rsidR="00BD47C0" w:rsidRPr="003F7FF9">
        <w:rPr>
          <w:b/>
          <w:i/>
        </w:rPr>
        <w:t xml:space="preserve">mangelndes legislatives Sachwissen </w:t>
      </w:r>
      <w:r w:rsidR="00BD47C0">
        <w:t>zu Fragen der Informationstechnologien und adäquater technischer Substitute von Mech</w:t>
      </w:r>
      <w:r w:rsidR="00BD47C0">
        <w:t>a</w:t>
      </w:r>
      <w:r w:rsidR="00BD47C0">
        <w:t xml:space="preserve">nismen zur Sicherung der primären Warnfunktion durch die Anordnung von </w:t>
      </w:r>
      <w:r w:rsidR="003F7FF9">
        <w:t xml:space="preserve">entsprechenden </w:t>
      </w:r>
      <w:r w:rsidR="00BD47C0">
        <w:t xml:space="preserve">datenschutzrechtlichen Förmlichkeiten. </w:t>
      </w:r>
    </w:p>
    <w:p w:rsidR="004F5307" w:rsidRPr="00FE7D1F" w:rsidRDefault="004F5307" w:rsidP="00417FA2">
      <w:pPr>
        <w:pStyle w:val="berschrift6"/>
      </w:pPr>
      <w:bookmarkStart w:id="56" w:name="_Toc490827369"/>
      <w:r w:rsidRPr="00FE7D1F">
        <w:t>Informationspflichten</w:t>
      </w:r>
      <w:r w:rsidR="00231FF9">
        <w:t xml:space="preserve"> der verantwortlichen Stelle</w:t>
      </w:r>
      <w:bookmarkEnd w:id="56"/>
    </w:p>
    <w:p w:rsidR="004F5307" w:rsidRPr="00FE7D1F" w:rsidRDefault="004F5307" w:rsidP="006E7507">
      <w:r w:rsidRPr="00FE7D1F">
        <w:t xml:space="preserve">Im Rahmen der Informationspflichten wurde hinsichtlich der Identität der verantwortlichen Stelle für die Erteilung der Pflichtinformationen in § 21g </w:t>
      </w:r>
      <w:r w:rsidRPr="00FE7D1F">
        <w:lastRenderedPageBreak/>
        <w:t xml:space="preserve">Abs. 6 S. 5 </w:t>
      </w:r>
      <w:r w:rsidR="00F203A7">
        <w:t xml:space="preserve">EnWG </w:t>
      </w:r>
      <w:r w:rsidRPr="00FE7D1F">
        <w:t>selbst nichts bestimmt.</w:t>
      </w:r>
      <w:r w:rsidR="00225756">
        <w:rPr>
          <w:rStyle w:val="Funotenzeichen"/>
        </w:rPr>
        <w:footnoteReference w:id="63"/>
      </w:r>
      <w:r w:rsidRPr="00FE7D1F">
        <w:t xml:space="preserve"> Da im Gesetz selbst lediglich der potentielle Adressatenkreis auf die zum Datenumgang berechtigten Ste</w:t>
      </w:r>
      <w:r w:rsidRPr="00FE7D1F">
        <w:t>l</w:t>
      </w:r>
      <w:r w:rsidRPr="00FE7D1F">
        <w:t>len eingeg</w:t>
      </w:r>
      <w:r w:rsidR="00225756">
        <w:t xml:space="preserve">renzt wird, ergibt sich daraus </w:t>
      </w:r>
      <w:r w:rsidRPr="00FE7D1F">
        <w:t>nicht, welcher Akteur die Unterric</w:t>
      </w:r>
      <w:r w:rsidRPr="00FE7D1F">
        <w:t>h</w:t>
      </w:r>
      <w:r w:rsidRPr="00FE7D1F">
        <w:t>tungspflichten wahrnehmen muss. Für den Betroffenen selbst ist die veran</w:t>
      </w:r>
      <w:r w:rsidRPr="00FE7D1F">
        <w:t>t</w:t>
      </w:r>
      <w:r w:rsidRPr="00FE7D1F">
        <w:t>wortliche Stelle ebenfalls nicht normklar ersichtlich.</w:t>
      </w:r>
      <w:r w:rsidRPr="00FE7D1F">
        <w:rPr>
          <w:vertAlign w:val="superscript"/>
        </w:rPr>
        <w:footnoteReference w:id="64"/>
      </w:r>
      <w:r w:rsidRPr="00FE7D1F">
        <w:t xml:space="preserve"> Festgehalten werden kann an dieser Stelle, dass im </w:t>
      </w:r>
      <w:r w:rsidRPr="003F7FF9">
        <w:rPr>
          <w:b/>
          <w:i/>
        </w:rPr>
        <w:t>bestehenden Kommunikationsmodell</w:t>
      </w:r>
      <w:r w:rsidR="00331455">
        <w:t xml:space="preserve"> der zur Festlegung der Prozesse berufenen BNetzA</w:t>
      </w:r>
      <w:r w:rsidR="00225756">
        <w:t>,</w:t>
      </w:r>
      <w:r w:rsidRPr="00FE7D1F">
        <w:t xml:space="preserve"> der MSB die Stelle </w:t>
      </w:r>
      <w:r w:rsidR="00331455">
        <w:t>sein sollte</w:t>
      </w:r>
      <w:r w:rsidRPr="00FE7D1F">
        <w:t>, die das Fernmessen vornimmt. Allerdings sind auch Fälle denkbar, in denen der einzige dem Betroffenen bekannte Akteur der Lieferant sein dürfte.</w:t>
      </w:r>
      <w:r w:rsidRPr="00FE7D1F">
        <w:rPr>
          <w:vertAlign w:val="superscript"/>
        </w:rPr>
        <w:footnoteReference w:id="65"/>
      </w:r>
      <w:r w:rsidRPr="00FE7D1F">
        <w:t xml:space="preserve"> Damit konnte die Regelung für die tatsächlichen Gegebenheiten auf dem Energiemarkt nicht gre</w:t>
      </w:r>
      <w:r w:rsidR="00E152CE">
        <w:t xml:space="preserve">ifen. </w:t>
      </w:r>
      <w:r w:rsidRPr="00FE7D1F">
        <w:t xml:space="preserve">Anderes würde gelten, wenn im Rahmen der Verordnung eine Festlegung der Verantwortlichkeit auf eine dieser Rollen vorgenommen </w:t>
      </w:r>
      <w:r w:rsidR="00331455">
        <w:t xml:space="preserve">worden </w:t>
      </w:r>
      <w:r w:rsidRPr="00FE7D1F">
        <w:t>wäre.</w:t>
      </w:r>
    </w:p>
    <w:p w:rsidR="004F5307" w:rsidRPr="00FE7D1F" w:rsidRDefault="004F5307" w:rsidP="00417FA2">
      <w:pPr>
        <w:pStyle w:val="berschrift6"/>
      </w:pPr>
      <w:bookmarkStart w:id="57" w:name="_Toc490827370"/>
      <w:r w:rsidRPr="00FE7D1F">
        <w:t>Nutzerrechte</w:t>
      </w:r>
      <w:bookmarkEnd w:id="57"/>
      <w:r w:rsidRPr="00FE7D1F">
        <w:t xml:space="preserve"> </w:t>
      </w:r>
    </w:p>
    <w:p w:rsidR="004F5307" w:rsidRPr="00FE7D1F" w:rsidRDefault="004F5307" w:rsidP="00417FA2">
      <w:pPr>
        <w:pStyle w:val="berschrift7"/>
      </w:pPr>
      <w:bookmarkStart w:id="58" w:name="_Toc490827371"/>
      <w:r w:rsidRPr="00FE7D1F">
        <w:t>Auskunftsrechte</w:t>
      </w:r>
      <w:bookmarkEnd w:id="55"/>
      <w:bookmarkEnd w:id="58"/>
    </w:p>
    <w:p w:rsidR="004F5307" w:rsidRPr="00FE7D1F" w:rsidRDefault="004F5307" w:rsidP="006E7507">
      <w:r w:rsidRPr="00FE7D1F">
        <w:t xml:space="preserve">Der einzige gesetzlich fixierte Anknüpfungspunkt für die Ausübung von Nutzerrechten findet sich in § 21h </w:t>
      </w:r>
      <w:r w:rsidR="00F203A7">
        <w:t>EnWG.</w:t>
      </w:r>
      <w:r w:rsidRPr="00FE7D1F">
        <w:t xml:space="preserve"> Trotz der amtlichen Überschrift „Informationspflichten“ </w:t>
      </w:r>
      <w:r w:rsidR="00331455">
        <w:t>waren</w:t>
      </w:r>
      <w:r w:rsidR="00331455" w:rsidRPr="00FE7D1F">
        <w:t xml:space="preserve"> </w:t>
      </w:r>
      <w:r w:rsidRPr="00FE7D1F">
        <w:t xml:space="preserve">darin Auskunftsrechte des Betroffenen allein gegenüber dem MSB normiert. Die Beschränkung auf den MSB ist </w:t>
      </w:r>
      <w:r w:rsidR="003F7FF9">
        <w:t xml:space="preserve">jedoch </w:t>
      </w:r>
      <w:r w:rsidRPr="00FE7D1F">
        <w:lastRenderedPageBreak/>
        <w:t xml:space="preserve">erneut aus der Perspektive der </w:t>
      </w:r>
      <w:r w:rsidRPr="003F7FF9">
        <w:rPr>
          <w:b/>
        </w:rPr>
        <w:t>Sternkommunikation</w:t>
      </w:r>
      <w:r w:rsidRPr="00FE7D1F">
        <w:t xml:space="preserve"> motiviert, da die no</w:t>
      </w:r>
      <w:r w:rsidRPr="00FE7D1F">
        <w:t>t</w:t>
      </w:r>
      <w:r w:rsidRPr="00FE7D1F">
        <w:t>wendige Ausübung von Auskunftsrechten bei den Akteuren einer Prozes</w:t>
      </w:r>
      <w:r w:rsidRPr="00FE7D1F">
        <w:t>s</w:t>
      </w:r>
      <w:r w:rsidRPr="00FE7D1F">
        <w:t xml:space="preserve">kette in diesem Paradigma nicht bedacht werden musste. Im Ergebnis </w:t>
      </w:r>
      <w:r w:rsidR="00235C86">
        <w:br/>
      </w:r>
      <w:r w:rsidRPr="00FE7D1F">
        <w:t xml:space="preserve">bezieht sich dann – aus der Perspektive der Sicherung der „Datenhoheit“ konsequent – § 21h </w:t>
      </w:r>
      <w:r w:rsidR="00F203A7">
        <w:t xml:space="preserve">EnWG </w:t>
      </w:r>
      <w:r w:rsidRPr="00FE7D1F">
        <w:t xml:space="preserve">lediglich auf die Einsicht in die im </w:t>
      </w:r>
      <w:r w:rsidRPr="00FE7D1F">
        <w:rPr>
          <w:i/>
        </w:rPr>
        <w:t>„elektro</w:t>
      </w:r>
      <w:r w:rsidR="00235C86">
        <w:rPr>
          <w:i/>
        </w:rPr>
        <w:softHyphen/>
      </w:r>
      <w:r w:rsidRPr="00FE7D1F">
        <w:rPr>
          <w:i/>
        </w:rPr>
        <w:t>nischen Speicher- und Verarbeitungsmedium gespeicherten auslesbaren Daten“</w:t>
      </w:r>
      <w:r w:rsidRPr="00FE7D1F">
        <w:t>.</w:t>
      </w:r>
      <w:r w:rsidRPr="00FE7D1F">
        <w:rPr>
          <w:vertAlign w:val="superscript"/>
        </w:rPr>
        <w:footnoteReference w:id="66"/>
      </w:r>
      <w:r w:rsidRPr="00FE7D1F">
        <w:t xml:space="preserve"> </w:t>
      </w:r>
    </w:p>
    <w:p w:rsidR="004F5307" w:rsidRPr="00FE7D1F" w:rsidRDefault="004F5307" w:rsidP="006E7507">
      <w:r w:rsidRPr="00FE7D1F">
        <w:t xml:space="preserve">Da das faktische Marktgeschehen zum Zeitpunkt des Erlasses jedoch auf die Prozesse der BNetzA und damit die </w:t>
      </w:r>
      <w:r w:rsidRPr="00711979">
        <w:rPr>
          <w:b/>
          <w:i/>
        </w:rPr>
        <w:t>Kettenkommunikation</w:t>
      </w:r>
      <w:r w:rsidRPr="00FE7D1F">
        <w:t xml:space="preserve"> ausgerichtet war, konnten die Normierungen hinsichtlich des Auskunftsrechts nicht gre</w:t>
      </w:r>
      <w:r w:rsidRPr="00FE7D1F">
        <w:t>i</w:t>
      </w:r>
      <w:r w:rsidRPr="00FE7D1F">
        <w:t>fen. Es hätte vielmehr der Statuierung eines Auskunftsrechts gegenüber den anderen Marktakteuren bedurft. Dies war wegen der klaren Rollen- und Verwendungszuweisungen in den Prozessfestlegungen auch möglich</w:t>
      </w:r>
      <w:r w:rsidRPr="00FE7D1F">
        <w:rPr>
          <w:vertAlign w:val="superscript"/>
        </w:rPr>
        <w:footnoteReference w:id="67"/>
      </w:r>
      <w:r w:rsidRPr="00FE7D1F">
        <w:t xml:space="preserve"> und zudem gegenüber einem allgemeinen Verweis auf die korrespondierenden Regelungen des BDSG vorzugswürdig.</w:t>
      </w:r>
      <w:r w:rsidRPr="00FE7D1F">
        <w:rPr>
          <w:vertAlign w:val="superscript"/>
        </w:rPr>
        <w:footnoteReference w:id="68"/>
      </w:r>
      <w:r w:rsidR="00307B14">
        <w:t xml:space="preserve"> D</w:t>
      </w:r>
      <w:r w:rsidR="003F7FF9">
        <w:t>aher</w:t>
      </w:r>
      <w:r w:rsidR="00307B14">
        <w:t xml:space="preserve"> </w:t>
      </w:r>
      <w:r w:rsidR="003F7FF9">
        <w:t xml:space="preserve">lässt sich </w:t>
      </w:r>
      <w:r w:rsidR="00307B14">
        <w:t xml:space="preserve">an dieser Stelle ein Defizit im </w:t>
      </w:r>
      <w:r w:rsidR="00307B14" w:rsidRPr="00711979">
        <w:rPr>
          <w:b/>
          <w:i/>
        </w:rPr>
        <w:t>legislativen Normwissen</w:t>
      </w:r>
      <w:r w:rsidR="003F7FF9">
        <w:rPr>
          <w:b/>
          <w:i/>
        </w:rPr>
        <w:t xml:space="preserve"> </w:t>
      </w:r>
      <w:r w:rsidR="003F7FF9">
        <w:t>feststellen</w:t>
      </w:r>
      <w:r w:rsidR="00307B14">
        <w:t xml:space="preserve">, da die bestehenden Marktfestlegungen der BNetzA zur Kettenkommunikation im legislativen </w:t>
      </w:r>
      <w:r w:rsidR="00307B14" w:rsidRPr="00400AF9">
        <w:rPr>
          <w:w w:val="97"/>
        </w:rPr>
        <w:t>Entscheidungsprozess zu dieser materiellen Norm hätten bekannt sein müssen.</w:t>
      </w:r>
    </w:p>
    <w:p w:rsidR="004F5307" w:rsidRPr="00FE7D1F" w:rsidRDefault="004F5307" w:rsidP="00417FA2">
      <w:pPr>
        <w:pStyle w:val="berschrift7"/>
      </w:pPr>
      <w:bookmarkStart w:id="59" w:name="_Toc308694145"/>
      <w:bookmarkStart w:id="60" w:name="_Toc490827372"/>
      <w:r w:rsidRPr="00FE7D1F">
        <w:lastRenderedPageBreak/>
        <w:t>Löschpflichten</w:t>
      </w:r>
      <w:bookmarkEnd w:id="59"/>
      <w:bookmarkEnd w:id="60"/>
    </w:p>
    <w:p w:rsidR="004F5307" w:rsidRPr="00FE7D1F" w:rsidRDefault="004F5307" w:rsidP="006E7507">
      <w:r w:rsidRPr="00FE7D1F">
        <w:t>Bezüglich gesetzlich normierter Löschpflichten findet sich, neben der spez</w:t>
      </w:r>
      <w:r w:rsidRPr="00FE7D1F">
        <w:t>i</w:t>
      </w:r>
      <w:r w:rsidRPr="00FE7D1F">
        <w:t xml:space="preserve">ellen gesetzlichen Löschpflicht für die Missbrauchsaufdeckung in § 21g Abs. 3 </w:t>
      </w:r>
      <w:r w:rsidR="003C4460">
        <w:t xml:space="preserve">EnWG, </w:t>
      </w:r>
      <w:r w:rsidRPr="00FE7D1F">
        <w:t xml:space="preserve">in § 21g Abs. 6 S. 7 </w:t>
      </w:r>
      <w:r w:rsidR="003C4460">
        <w:t xml:space="preserve">EnWG </w:t>
      </w:r>
      <w:r w:rsidRPr="00FE7D1F">
        <w:t>lediglich die unbestimmte Vo</w:t>
      </w:r>
      <w:r w:rsidRPr="00FE7D1F">
        <w:t>r</w:t>
      </w:r>
      <w:r w:rsidRPr="00FE7D1F">
        <w:t>gabe, Höchstfristen für die Speicherung festzulegen. Im Hinblick auf die produktbezogene Intention des Gesetzes ist insofern offen, ob sich auch dies lediglich auf das Messsystem oder auf die gesamte Prozesskette bezieht. Mi</w:t>
      </w:r>
      <w:r w:rsidR="00E152CE">
        <w:t>thin konnte durch die Regelung kein umfassender Schutz</w:t>
      </w:r>
      <w:r w:rsidRPr="00FE7D1F">
        <w:t xml:space="preserve"> der informati</w:t>
      </w:r>
      <w:r w:rsidRPr="00FE7D1F">
        <w:t>o</w:t>
      </w:r>
      <w:r w:rsidRPr="00FE7D1F">
        <w:t>nellen Selbstbestimmung gewährt werden. Es wurde daher gefordert</w:t>
      </w:r>
      <w:r w:rsidR="00E152CE">
        <w:t>,</w:t>
      </w:r>
      <w:r w:rsidRPr="00FE7D1F">
        <w:t xml:space="preserve"> in der Verordnung Löschpflichten für alle bekannten Datenverwendungen in der gesamten Prozesskette adressatenspezifisch zu statuieren.</w:t>
      </w:r>
      <w:r w:rsidR="006D171B">
        <w:t xml:space="preserve"> </w:t>
      </w:r>
    </w:p>
    <w:p w:rsidR="004F5307" w:rsidRPr="00FE7D1F" w:rsidRDefault="004F5307" w:rsidP="00417FA2">
      <w:pPr>
        <w:pStyle w:val="berschrift7"/>
      </w:pPr>
      <w:bookmarkStart w:id="61" w:name="_Toc490827373"/>
      <w:r w:rsidRPr="00FE7D1F">
        <w:t>Weitere Nutzerrechte</w:t>
      </w:r>
      <w:bookmarkEnd w:id="61"/>
    </w:p>
    <w:p w:rsidR="004F5307" w:rsidRPr="00FE7D1F" w:rsidRDefault="004F5307" w:rsidP="006E7507">
      <w:r w:rsidRPr="00FE7D1F">
        <w:t>Auch hinsichtlich der weitergehenden Nutzerrechte wie Löschansprüche, Sperrpflichten und Berichtigungen ist ein allgemeiner Verweis auf die Reg</w:t>
      </w:r>
      <w:r w:rsidRPr="00FE7D1F">
        <w:t>e</w:t>
      </w:r>
      <w:r w:rsidRPr="00FE7D1F">
        <w:t>lungen des BDSG in der Verordnung nicht hinreichend</w:t>
      </w:r>
      <w:r w:rsidR="00E152CE">
        <w:t>,</w:t>
      </w:r>
      <w:r w:rsidRPr="00FE7D1F">
        <w:rPr>
          <w:vertAlign w:val="superscript"/>
        </w:rPr>
        <w:footnoteReference w:id="69"/>
      </w:r>
      <w:r w:rsidRPr="00FE7D1F">
        <w:t xml:space="preserve"> da auch bei einem solchen Vorgehen jedenfalls im Falle der Kettenkommunikation</w:t>
      </w:r>
      <w:r w:rsidRPr="00FE7D1F">
        <w:rPr>
          <w:vertAlign w:val="superscript"/>
        </w:rPr>
        <w:footnoteReference w:id="70"/>
      </w:r>
      <w:r w:rsidRPr="00FE7D1F">
        <w:t xml:space="preserve"> für den Betroffenen unklar bleibt, welcher Akteur im Markt welche Daten verwe</w:t>
      </w:r>
      <w:r w:rsidRPr="00FE7D1F">
        <w:t>n</w:t>
      </w:r>
      <w:r w:rsidRPr="00FE7D1F">
        <w:t>det und mithin sein Anspruchsgegner ist. Auch hier h</w:t>
      </w:r>
      <w:r w:rsidR="0031654E">
        <w:t>ätte es konkreter</w:t>
      </w:r>
      <w:r w:rsidRPr="00FE7D1F">
        <w:t xml:space="preserve"> Reg</w:t>
      </w:r>
      <w:r w:rsidRPr="00FE7D1F">
        <w:t>e</w:t>
      </w:r>
      <w:r w:rsidRPr="00FE7D1F">
        <w:t xml:space="preserve">lungen anhand der Prozessfestlegungen in </w:t>
      </w:r>
      <w:r w:rsidR="0031654E">
        <w:t xml:space="preserve">einer </w:t>
      </w:r>
      <w:r w:rsidRPr="00FE7D1F">
        <w:t>Verordnung bedurft.</w:t>
      </w:r>
    </w:p>
    <w:p w:rsidR="004F5307" w:rsidRPr="00FE7D1F" w:rsidRDefault="004339F9" w:rsidP="00417FA2">
      <w:pPr>
        <w:pStyle w:val="berschrift6"/>
      </w:pPr>
      <w:bookmarkStart w:id="62" w:name="_Toc490827374"/>
      <w:r>
        <w:t>Bewertung</w:t>
      </w:r>
      <w:bookmarkEnd w:id="62"/>
    </w:p>
    <w:p w:rsidR="0031654E" w:rsidRPr="00711979" w:rsidRDefault="0031654E" w:rsidP="006E7507">
      <w:pPr>
        <w:rPr>
          <w:vertAlign w:val="superscript"/>
        </w:rPr>
      </w:pPr>
      <w:r w:rsidRPr="00711979">
        <w:t xml:space="preserve">Sowohl die angezweifelte Verfassungsmäßigkeit des materiellrechtlichen Datenschutzkonzepts des </w:t>
      </w:r>
      <w:r w:rsidR="003C4460">
        <w:t xml:space="preserve">EnWG, </w:t>
      </w:r>
      <w:r w:rsidRPr="00711979">
        <w:t>als auch dessen geringe Regelungstiefe und die damit verbundenen fehlenden materielle</w:t>
      </w:r>
      <w:r w:rsidR="003C4460">
        <w:t>n</w:t>
      </w:r>
      <w:r w:rsidRPr="00711979">
        <w:t xml:space="preserve"> Vorgaben für die date</w:t>
      </w:r>
      <w:r w:rsidRPr="00711979">
        <w:t>n</w:t>
      </w:r>
      <w:r w:rsidRPr="00711979">
        <w:t>schutzgerechte Kommunikation, führt vor Augen, dass die gesetzlichen Regelungen die im Smart Grid bestehenden Realweltphänomene des Ene</w:t>
      </w:r>
      <w:r w:rsidRPr="00711979">
        <w:t>r</w:t>
      </w:r>
      <w:r w:rsidRPr="00711979">
        <w:lastRenderedPageBreak/>
        <w:t>giemarktes tatsächlich nicht erfassen konnten, sofern man der Auffassung der kritischen Stimmen folgt. So zeigt die rechtswissenschaftliche Diskuss</w:t>
      </w:r>
      <w:r w:rsidRPr="00711979">
        <w:t>i</w:t>
      </w:r>
      <w:r w:rsidRPr="00711979">
        <w:t xml:space="preserve">on um Verfassungsmäßigkeit und Anwendbarkeit des </w:t>
      </w:r>
      <w:r w:rsidR="00307B14">
        <w:t>EnWG</w:t>
      </w:r>
      <w:r w:rsidRPr="00711979">
        <w:t xml:space="preserve"> für date</w:t>
      </w:r>
      <w:r w:rsidRPr="00711979">
        <w:t>n</w:t>
      </w:r>
      <w:r w:rsidRPr="00711979">
        <w:t>schutzrechtliche Konstellationen doch sehr deutlich, dass dem Gesetzgeber im legislativen Entscheidungsprozess das für die Schaffung von den geg</w:t>
      </w:r>
      <w:r w:rsidRPr="00711979">
        <w:t>e</w:t>
      </w:r>
      <w:r w:rsidRPr="00711979">
        <w:t xml:space="preserve">benen Realbereich abdeckenden Normen erforderliche </w:t>
      </w:r>
      <w:r w:rsidRPr="00711979">
        <w:rPr>
          <w:b/>
          <w:i/>
        </w:rPr>
        <w:t>Normwissen fehlte</w:t>
      </w:r>
      <w:r w:rsidRPr="00711979">
        <w:t xml:space="preserve">. Damit können die </w:t>
      </w:r>
      <w:r w:rsidR="00307B14">
        <w:t xml:space="preserve">materiellen </w:t>
      </w:r>
      <w:r w:rsidRPr="00711979">
        <w:t>Normen hinsichtlich der tatsächlichen Geg</w:t>
      </w:r>
      <w:r w:rsidRPr="00711979">
        <w:t>e</w:t>
      </w:r>
      <w:r w:rsidRPr="00711979">
        <w:t>benheiten des Energiemarktes nicht greifen, was sich in mangelnder Durc</w:t>
      </w:r>
      <w:r w:rsidRPr="00711979">
        <w:t>h</w:t>
      </w:r>
      <w:r w:rsidRPr="00711979">
        <w:t xml:space="preserve">setzungskraft und </w:t>
      </w:r>
      <w:r w:rsidRPr="00711979">
        <w:rPr>
          <w:b/>
          <w:i/>
        </w:rPr>
        <w:t>Steuerungsfähigkeit des Gesetzes</w:t>
      </w:r>
      <w:r w:rsidRPr="00711979">
        <w:t xml:space="preserve"> wiederspiegelt. Dies lässt sich zumindest teilweise der Unkenntnis marktlicher Gestaltungen</w:t>
      </w:r>
      <w:r w:rsidR="00BE1B5B" w:rsidRPr="00711979">
        <w:t xml:space="preserve"> und damit dem </w:t>
      </w:r>
      <w:r w:rsidR="00BE1B5B" w:rsidRPr="00711979">
        <w:rPr>
          <w:b/>
          <w:i/>
        </w:rPr>
        <w:t>fehlenden Sachwissen</w:t>
      </w:r>
      <w:r w:rsidRPr="00711979">
        <w:t xml:space="preserve"> und der Unübersichtlichkeit des Rea</w:t>
      </w:r>
      <w:r w:rsidRPr="00711979">
        <w:t>l</w:t>
      </w:r>
      <w:r w:rsidRPr="00711979">
        <w:t>weltphänomens Smart Grid zuordnen, dessen vollständige Erfassung den Staat an seine Grenzen bringt.</w:t>
      </w:r>
      <w:r w:rsidR="00BE1B5B" w:rsidRPr="00711979">
        <w:t xml:space="preserve"> Damit</w:t>
      </w:r>
      <w:r w:rsidR="00E152CE">
        <w:t xml:space="preserve"> wird bestätigt, dass sich die </w:t>
      </w:r>
      <w:r w:rsidR="00BE1B5B" w:rsidRPr="00711979">
        <w:t>gesetzliche Ex-Ante-Steuerung der Datenverarbeitung angesichts der dynamischen Entwicklung von Technik und Anwendungen grundsätzlich als zunehmend schwierig darstellt.</w:t>
      </w:r>
      <w:r w:rsidR="00BE1B5B" w:rsidRPr="00711979">
        <w:rPr>
          <w:vertAlign w:val="superscript"/>
        </w:rPr>
        <w:footnoteReference w:id="71"/>
      </w:r>
      <w:r w:rsidR="006D171B">
        <w:rPr>
          <w:vertAlign w:val="superscript"/>
        </w:rPr>
        <w:t xml:space="preserve"> </w:t>
      </w:r>
    </w:p>
    <w:p w:rsidR="001C18FF" w:rsidRPr="00711979" w:rsidRDefault="00BE1B5B" w:rsidP="006E7507">
      <w:r w:rsidRPr="00711979">
        <w:t>Letztlich ist der im Datenschutzkonzept</w:t>
      </w:r>
      <w:r w:rsidR="003813B2">
        <w:t xml:space="preserve"> der §§ 21</w:t>
      </w:r>
      <w:r w:rsidRPr="00711979">
        <w:t xml:space="preserve">g ff. </w:t>
      </w:r>
      <w:r w:rsidR="00F203A7" w:rsidRPr="00711979">
        <w:t xml:space="preserve">EnWG </w:t>
      </w:r>
      <w:r w:rsidRPr="00711979">
        <w:t>eingeschlag</w:t>
      </w:r>
      <w:r w:rsidRPr="00711979">
        <w:t>e</w:t>
      </w:r>
      <w:r w:rsidRPr="00711979">
        <w:t xml:space="preserve">ne Weg der </w:t>
      </w:r>
      <w:r w:rsidRPr="00711979">
        <w:rPr>
          <w:b/>
          <w:i/>
        </w:rPr>
        <w:t>Flexibilisierung</w:t>
      </w:r>
      <w:r w:rsidRPr="00711979">
        <w:t xml:space="preserve"> in Form von Verlagerung von Normsetzung auf den Ver</w:t>
      </w:r>
      <w:r w:rsidR="00E152CE">
        <w:t>ordnungsgeber zu begrüßen. D</w:t>
      </w:r>
      <w:r w:rsidR="002135ED" w:rsidRPr="00711979">
        <w:t xml:space="preserve">adurch </w:t>
      </w:r>
      <w:r w:rsidR="00E152CE">
        <w:t xml:space="preserve">wird </w:t>
      </w:r>
      <w:r w:rsidRPr="00711979">
        <w:t xml:space="preserve">eine </w:t>
      </w:r>
      <w:r w:rsidR="002135ED" w:rsidRPr="00711979">
        <w:rPr>
          <w:b/>
          <w:i/>
        </w:rPr>
        <w:t>Kompensation von mangelndem Sach- und Erfahrungswissen</w:t>
      </w:r>
      <w:r w:rsidR="002135ED" w:rsidRPr="00711979">
        <w:t xml:space="preserve"> </w:t>
      </w:r>
      <w:r w:rsidRPr="00711979">
        <w:t xml:space="preserve">durch die </w:t>
      </w:r>
      <w:r w:rsidR="002135ED" w:rsidRPr="00711979">
        <w:t xml:space="preserve">sich schnell </w:t>
      </w:r>
      <w:r w:rsidRPr="00711979">
        <w:t>en</w:t>
      </w:r>
      <w:r w:rsidRPr="00711979">
        <w:t>t</w:t>
      </w:r>
      <w:r w:rsidRPr="00711979">
        <w:t>wickelnde</w:t>
      </w:r>
      <w:r w:rsidR="002135ED" w:rsidRPr="00711979">
        <w:t xml:space="preserve"> Technik </w:t>
      </w:r>
      <w:r w:rsidRPr="00711979">
        <w:t xml:space="preserve">möglich, indem </w:t>
      </w:r>
      <w:r w:rsidR="002135ED" w:rsidRPr="00711979">
        <w:t>besser</w:t>
      </w:r>
      <w:r w:rsidRPr="00711979">
        <w:t xml:space="preserve"> und </w:t>
      </w:r>
      <w:r w:rsidR="002135ED" w:rsidRPr="00711979">
        <w:t xml:space="preserve">schneller auf </w:t>
      </w:r>
      <w:r w:rsidRPr="00711979">
        <w:t xml:space="preserve">tatsächliche </w:t>
      </w:r>
      <w:r w:rsidR="002135ED" w:rsidRPr="00711979">
        <w:t>Veränderunge</w:t>
      </w:r>
      <w:r w:rsidRPr="00711979">
        <w:t>n</w:t>
      </w:r>
      <w:r w:rsidR="002135ED" w:rsidRPr="00711979">
        <w:t xml:space="preserve"> </w:t>
      </w:r>
      <w:r w:rsidRPr="00711979">
        <w:t xml:space="preserve">der Marktgegebenheiten </w:t>
      </w:r>
      <w:r w:rsidR="002135ED" w:rsidRPr="00711979">
        <w:t>reagiert werden kann.</w:t>
      </w:r>
      <w:r w:rsidR="00711979">
        <w:t xml:space="preserve"> </w:t>
      </w:r>
      <w:r w:rsidR="001C18FF" w:rsidRPr="00711979">
        <w:t>Zudem kann dadurch zumindest teilweise dem Problem des eingeschränkten Prognoseh</w:t>
      </w:r>
      <w:r w:rsidR="001C18FF" w:rsidRPr="00711979">
        <w:t>o</w:t>
      </w:r>
      <w:r w:rsidR="001C18FF" w:rsidRPr="00711979">
        <w:t>ri</w:t>
      </w:r>
      <w:r w:rsidR="00E152CE">
        <w:t xml:space="preserve">zonts begegnet werden. </w:t>
      </w:r>
      <w:r w:rsidR="001C18FF" w:rsidRPr="00711979">
        <w:t xml:space="preserve">Allerdings fehlte </w:t>
      </w:r>
      <w:r w:rsidR="00307B14">
        <w:t>es</w:t>
      </w:r>
      <w:r w:rsidR="00307B14" w:rsidRPr="00711979">
        <w:t xml:space="preserve"> </w:t>
      </w:r>
      <w:r w:rsidR="001C18FF" w:rsidRPr="00711979">
        <w:t>auch</w:t>
      </w:r>
      <w:r w:rsidR="00307B14">
        <w:t xml:space="preserve"> hier am</w:t>
      </w:r>
      <w:r w:rsidR="001C18FF" w:rsidRPr="00711979">
        <w:t xml:space="preserve"> Normwissen, indem nicht gesehen wurde, dass eine fast vollständige Verlagerung der Vorgaben auf den Verordnungsgeber und damit eine Verweigerung norm</w:t>
      </w:r>
      <w:r w:rsidR="001C18FF" w:rsidRPr="00711979">
        <w:t>a</w:t>
      </w:r>
      <w:r w:rsidR="001C18FF" w:rsidRPr="00711979">
        <w:t>tiver Grundsatzentscheidu</w:t>
      </w:r>
      <w:r w:rsidR="00E152CE">
        <w:t>ngen</w:t>
      </w:r>
      <w:r w:rsidR="001C18FF" w:rsidRPr="00711979">
        <w:t xml:space="preserve"> aus verfassungsrechtlicher Sicht angreifbar</w:t>
      </w:r>
      <w:r w:rsidR="003C4460">
        <w:t>,</w:t>
      </w:r>
      <w:r w:rsidR="001C18FF" w:rsidRPr="00711979">
        <w:t xml:space="preserve"> wenn nicht unzulässig sein muss</w:t>
      </w:r>
      <w:r w:rsidR="00307B14">
        <w:t>te</w:t>
      </w:r>
      <w:r w:rsidR="001C18FF" w:rsidRPr="00711979">
        <w:t>. Zudem wurde nicht gesehen</w:t>
      </w:r>
      <w:r w:rsidR="00E152CE">
        <w:t xml:space="preserve">, dass </w:t>
      </w:r>
      <w:r w:rsidR="001C18FF" w:rsidRPr="00711979">
        <w:t xml:space="preserve">eine Flexibilisierung durch die Möglichkeit der Durchführung eines </w:t>
      </w:r>
      <w:r w:rsidR="00307B14">
        <w:t>modifizie</w:t>
      </w:r>
      <w:r w:rsidR="00307B14">
        <w:t>r</w:t>
      </w:r>
      <w:r w:rsidR="00307B14">
        <w:lastRenderedPageBreak/>
        <w:t xml:space="preserve">ten </w:t>
      </w:r>
      <w:r w:rsidR="00711979">
        <w:t xml:space="preserve">Feststellungsverfahrens </w:t>
      </w:r>
      <w:r w:rsidR="001C18FF" w:rsidRPr="00711979">
        <w:t>sichergestellt werden kann</w:t>
      </w:r>
      <w:r w:rsidR="00307B14">
        <w:t xml:space="preserve">, wie es </w:t>
      </w:r>
      <w:r w:rsidR="00711979">
        <w:t xml:space="preserve">Gegenstand der vorliegenden Untersuchung ist. </w:t>
      </w:r>
    </w:p>
    <w:p w:rsidR="004F5307" w:rsidRPr="00DE6220" w:rsidRDefault="009B59FD" w:rsidP="00DE6220">
      <w:r w:rsidRPr="00711979">
        <w:t>Zwar werden durch die Verlagerung sowie die detaillierteren neuen Ausg</w:t>
      </w:r>
      <w:r w:rsidRPr="00711979">
        <w:t>e</w:t>
      </w:r>
      <w:r w:rsidRPr="00711979">
        <w:t xml:space="preserve">staltungen im MsbG einige </w:t>
      </w:r>
      <w:r w:rsidR="001C18FF" w:rsidRPr="00711979">
        <w:t xml:space="preserve">der oben genannten </w:t>
      </w:r>
      <w:r w:rsidRPr="00711979">
        <w:t>Kritikpunkte obsolet, jedoch bestätigen</w:t>
      </w:r>
      <w:r w:rsidR="001C18FF" w:rsidRPr="00711979">
        <w:t xml:space="preserve"> dies gerade das </w:t>
      </w:r>
      <w:r w:rsidRPr="00711979">
        <w:t>oben gefundene Ergebnis, dass Wissensdefizite beim Gesetzgeber bestanden und diese in der Praxis auch erhebliche Au</w:t>
      </w:r>
      <w:r w:rsidRPr="00711979">
        <w:t>s</w:t>
      </w:r>
      <w:r w:rsidRPr="00711979">
        <w:t>wirkungen zeigten</w:t>
      </w:r>
      <w:r w:rsidR="00773364" w:rsidRPr="00711979">
        <w:t>.</w:t>
      </w:r>
      <w:r w:rsidR="001C18FF" w:rsidRPr="00711979">
        <w:t xml:space="preserve"> Damit kann </w:t>
      </w:r>
      <w:r w:rsidR="00164E16">
        <w:t>das legislative Umsteuern</w:t>
      </w:r>
      <w:r w:rsidR="001C18FF" w:rsidRPr="00711979">
        <w:t xml:space="preserve"> weniger auf Ve</w:t>
      </w:r>
      <w:r w:rsidR="001C18FF" w:rsidRPr="00711979">
        <w:t>r</w:t>
      </w:r>
      <w:r w:rsidR="001C18FF" w:rsidRPr="00711979">
        <w:t>ordnungsebene zu regeln und mit dem MsbG ein zentrales Gesetz zu scha</w:t>
      </w:r>
      <w:r w:rsidR="001C18FF" w:rsidRPr="00711979">
        <w:t>f</w:t>
      </w:r>
      <w:r w:rsidR="001C18FF" w:rsidRPr="00711979">
        <w:t>fen als Indiz für die im Legislativprozess angelegte</w:t>
      </w:r>
      <w:r w:rsidR="001C18FF" w:rsidRPr="00711979">
        <w:rPr>
          <w:b/>
          <w:i/>
        </w:rPr>
        <w:t xml:space="preserve"> </w:t>
      </w:r>
      <w:r w:rsidR="001C18FF" w:rsidRPr="00711979">
        <w:rPr>
          <w:rFonts w:eastAsia="Times New Roman"/>
          <w:b/>
          <w:i/>
          <w:szCs w:val="24"/>
        </w:rPr>
        <w:t>Lernfähigkeit</w:t>
      </w:r>
      <w:r w:rsidR="001C18FF" w:rsidRPr="00711979">
        <w:rPr>
          <w:rFonts w:eastAsia="Times New Roman"/>
          <w:szCs w:val="24"/>
        </w:rPr>
        <w:t xml:space="preserve"> gesehen werden. Im Fokus steht </w:t>
      </w:r>
      <w:r w:rsidR="00BC6460" w:rsidRPr="00711979">
        <w:rPr>
          <w:rFonts w:eastAsia="Times New Roman"/>
          <w:szCs w:val="24"/>
        </w:rPr>
        <w:t xml:space="preserve">somit </w:t>
      </w:r>
      <w:r w:rsidR="001C18FF" w:rsidRPr="00711979">
        <w:rPr>
          <w:rFonts w:eastAsia="Times New Roman"/>
          <w:szCs w:val="24"/>
        </w:rPr>
        <w:t>nach wie vor die Frage</w:t>
      </w:r>
      <w:r w:rsidR="00BC6460" w:rsidRPr="00711979">
        <w:rPr>
          <w:rFonts w:eastAsia="Times New Roman"/>
          <w:szCs w:val="24"/>
        </w:rPr>
        <w:t xml:space="preserve"> nach Mechanismen der </w:t>
      </w:r>
      <w:r w:rsidR="001C18FF" w:rsidRPr="00711979">
        <w:rPr>
          <w:rFonts w:eastAsia="Times New Roman"/>
          <w:szCs w:val="24"/>
        </w:rPr>
        <w:t>Flexibilisie</w:t>
      </w:r>
      <w:r w:rsidR="00BC6460" w:rsidRPr="00711979">
        <w:rPr>
          <w:rFonts w:eastAsia="Times New Roman"/>
          <w:szCs w:val="24"/>
        </w:rPr>
        <w:t>rung und Revisibilität sowie der</w:t>
      </w:r>
      <w:r w:rsidR="001C18FF" w:rsidRPr="00711979">
        <w:rPr>
          <w:rFonts w:eastAsia="Times New Roman"/>
          <w:szCs w:val="24"/>
        </w:rPr>
        <w:t xml:space="preserve"> Verbesseru</w:t>
      </w:r>
      <w:r w:rsidR="00BC6460" w:rsidRPr="00711979">
        <w:rPr>
          <w:rFonts w:eastAsia="Times New Roman"/>
          <w:szCs w:val="24"/>
        </w:rPr>
        <w:t>ng von Lernf</w:t>
      </w:r>
      <w:r w:rsidR="00BC6460" w:rsidRPr="00711979">
        <w:rPr>
          <w:rFonts w:eastAsia="Times New Roman"/>
          <w:szCs w:val="24"/>
        </w:rPr>
        <w:t>ä</w:t>
      </w:r>
      <w:r w:rsidR="00BC6460" w:rsidRPr="00711979">
        <w:rPr>
          <w:rFonts w:eastAsia="Times New Roman"/>
          <w:szCs w:val="24"/>
        </w:rPr>
        <w:t>higkeit, die wie oben beschrieben durch eine Optimierung von Verfahren eingesetzt werden können</w:t>
      </w:r>
      <w:r w:rsidR="00BC6460" w:rsidRPr="00307B14">
        <w:rPr>
          <w:rFonts w:eastAsia="Times New Roman"/>
          <w:szCs w:val="24"/>
        </w:rPr>
        <w:t>.</w:t>
      </w:r>
      <w:r w:rsidR="006D171B">
        <w:rPr>
          <w:rFonts w:eastAsia="Times New Roman"/>
          <w:szCs w:val="24"/>
        </w:rPr>
        <w:t xml:space="preserve"> </w:t>
      </w:r>
    </w:p>
    <w:p w:rsidR="00095694" w:rsidRDefault="00095694" w:rsidP="00417FA2">
      <w:pPr>
        <w:pStyle w:val="berschrift4"/>
      </w:pPr>
      <w:bookmarkStart w:id="63" w:name="_Ref341820907"/>
      <w:bookmarkStart w:id="64" w:name="_Toc490827375"/>
      <w:r>
        <w:t>Defizite innerhalb der technischen Datenschutzvorgaben</w:t>
      </w:r>
      <w:bookmarkEnd w:id="63"/>
      <w:bookmarkEnd w:id="64"/>
      <w:r>
        <w:tab/>
      </w:r>
    </w:p>
    <w:p w:rsidR="00B04AF1" w:rsidRDefault="00E152CE" w:rsidP="00417FA2">
      <w:pPr>
        <w:pStyle w:val="berschrift5"/>
        <w:numPr>
          <w:ilvl w:val="0"/>
          <w:numId w:val="36"/>
        </w:numPr>
        <w:ind w:left="851" w:hanging="709"/>
      </w:pPr>
      <w:bookmarkStart w:id="65" w:name="_Ref466036125"/>
      <w:bookmarkStart w:id="66" w:name="_Toc490827376"/>
      <w:r>
        <w:t>Produkt- statt p</w:t>
      </w:r>
      <w:r w:rsidR="00DC6115">
        <w:t>rozessbezogener Datenschutz</w:t>
      </w:r>
      <w:r w:rsidR="005B56BD">
        <w:t xml:space="preserve"> –</w:t>
      </w:r>
      <w:r w:rsidR="00095694">
        <w:t xml:space="preserve"> </w:t>
      </w:r>
      <w:r w:rsidR="00417FA2">
        <w:br/>
      </w:r>
      <w:r w:rsidR="005B56BD">
        <w:t>Schutzprofile für Smart Meter</w:t>
      </w:r>
      <w:bookmarkEnd w:id="65"/>
      <w:bookmarkEnd w:id="66"/>
    </w:p>
    <w:p w:rsidR="00095694" w:rsidRPr="00672CC4" w:rsidRDefault="00095694" w:rsidP="006E7507">
      <w:r>
        <w:t>Als</w:t>
      </w:r>
      <w:r w:rsidR="006D171B">
        <w:t xml:space="preserve"> </w:t>
      </w:r>
      <w:r w:rsidR="00672CC4">
        <w:t xml:space="preserve">weiteres </w:t>
      </w:r>
      <w:r w:rsidRPr="00095694">
        <w:t xml:space="preserve">Beispiel für Defizite im Bereich des </w:t>
      </w:r>
      <w:r w:rsidR="00672CC4" w:rsidRPr="00711979">
        <w:rPr>
          <w:b/>
          <w:i/>
        </w:rPr>
        <w:t>Erfahrungswissens</w:t>
      </w:r>
      <w:r w:rsidRPr="00095694">
        <w:t xml:space="preserve"> im legislativen Entscheidungsprozess k</w:t>
      </w:r>
      <w:r w:rsidR="00231FF9">
        <w:t>ann</w:t>
      </w:r>
      <w:r w:rsidR="00672CC4">
        <w:t xml:space="preserve"> zudem </w:t>
      </w:r>
      <w:r w:rsidR="00231FF9">
        <w:t xml:space="preserve">die </w:t>
      </w:r>
      <w:r w:rsidR="00672CC4">
        <w:t>rein produkt</w:t>
      </w:r>
      <w:r w:rsidR="00726B68">
        <w:t>bezogene Sicht de</w:t>
      </w:r>
      <w:r w:rsidR="0031654E">
        <w:t>s Gesetzgebers</w:t>
      </w:r>
      <w:r w:rsidR="007E1FFF">
        <w:t xml:space="preserve"> auf das Sm</w:t>
      </w:r>
      <w:r w:rsidR="00726B68">
        <w:t>art</w:t>
      </w:r>
      <w:r w:rsidR="00E152CE">
        <w:t xml:space="preserve"> </w:t>
      </w:r>
      <w:r w:rsidR="00726B68">
        <w:t>Meter und die</w:t>
      </w:r>
      <w:r w:rsidR="00672CC4">
        <w:t xml:space="preserve"> </w:t>
      </w:r>
      <w:r w:rsidR="0031654E">
        <w:t xml:space="preserve">damit verbundene </w:t>
      </w:r>
      <w:r w:rsidR="00672CC4">
        <w:t>B</w:t>
      </w:r>
      <w:r w:rsidR="00672CC4">
        <w:t>e</w:t>
      </w:r>
      <w:r w:rsidR="00672CC4">
        <w:t xml:space="preserve">auftragung des BSI zur Entwicklung eines </w:t>
      </w:r>
      <w:r w:rsidR="00726B68">
        <w:t xml:space="preserve">produktbezogenen </w:t>
      </w:r>
      <w:r w:rsidR="00672CC4">
        <w:t>Datenschut</w:t>
      </w:r>
      <w:r w:rsidR="00672CC4">
        <w:t>z</w:t>
      </w:r>
      <w:r w:rsidR="00672CC4">
        <w:t>ko</w:t>
      </w:r>
      <w:r w:rsidR="003C4460">
        <w:t xml:space="preserve">nzeptes </w:t>
      </w:r>
      <w:r w:rsidR="00E152CE">
        <w:t>aus Schutzprofilen und T</w:t>
      </w:r>
      <w:r w:rsidR="00672CC4">
        <w:t>echnischen Richtlinien für das Smart</w:t>
      </w:r>
      <w:r w:rsidR="00E152CE">
        <w:t xml:space="preserve"> </w:t>
      </w:r>
      <w:r w:rsidR="003C4460">
        <w:t xml:space="preserve">Metering </w:t>
      </w:r>
      <w:r w:rsidR="00231FF9">
        <w:t>angeführt werden</w:t>
      </w:r>
      <w:r w:rsidRPr="00095694">
        <w:t>.</w:t>
      </w:r>
    </w:p>
    <w:p w:rsidR="00AF3B58" w:rsidRDefault="00984B5D" w:rsidP="00417FA2">
      <w:pPr>
        <w:pStyle w:val="berschrift6"/>
        <w:numPr>
          <w:ilvl w:val="0"/>
          <w:numId w:val="37"/>
        </w:numPr>
        <w:ind w:left="851" w:hanging="851"/>
      </w:pPr>
      <w:bookmarkStart w:id="67" w:name="_Ref341647984"/>
      <w:bookmarkStart w:id="68" w:name="_Toc490827377"/>
      <w:r>
        <w:t>Entwicklung</w:t>
      </w:r>
      <w:bookmarkEnd w:id="67"/>
      <w:bookmarkEnd w:id="68"/>
      <w:r w:rsidR="006D171B">
        <w:t xml:space="preserve"> </w:t>
      </w:r>
    </w:p>
    <w:p w:rsidR="00AF3B58" w:rsidRDefault="00164E16" w:rsidP="00B10FE7">
      <w:pPr>
        <w:rPr>
          <w:rFonts w:eastAsia="Times New Roman"/>
          <w:szCs w:val="24"/>
        </w:rPr>
      </w:pPr>
      <w:r>
        <w:rPr>
          <w:rFonts w:eastAsia="Times New Roman"/>
          <w:szCs w:val="24"/>
        </w:rPr>
        <w:t xml:space="preserve">Wie bereits in </w:t>
      </w:r>
      <w:r w:rsidR="00711979">
        <w:rPr>
          <w:rFonts w:eastAsia="Times New Roman"/>
          <w:szCs w:val="24"/>
        </w:rPr>
        <w:t>einem Überblick</w:t>
      </w:r>
      <w:r>
        <w:rPr>
          <w:rFonts w:eastAsia="Times New Roman"/>
          <w:szCs w:val="24"/>
        </w:rPr>
        <w:t xml:space="preserve"> eingeführt</w:t>
      </w:r>
      <w:r w:rsidR="00711979">
        <w:rPr>
          <w:rFonts w:eastAsia="Times New Roman"/>
          <w:szCs w:val="24"/>
        </w:rPr>
        <w:t>,</w:t>
      </w:r>
      <w:r>
        <w:rPr>
          <w:rStyle w:val="Funotenzeichen"/>
          <w:rFonts w:eastAsia="Times New Roman"/>
          <w:szCs w:val="24"/>
        </w:rPr>
        <w:footnoteReference w:id="72"/>
      </w:r>
      <w:r>
        <w:rPr>
          <w:rFonts w:eastAsia="Times New Roman"/>
          <w:szCs w:val="24"/>
        </w:rPr>
        <w:t xml:space="preserve"> wurden i</w:t>
      </w:r>
      <w:r w:rsidR="00AF3B58" w:rsidRPr="00AF3B58">
        <w:rPr>
          <w:rFonts w:eastAsia="Times New Roman"/>
          <w:szCs w:val="24"/>
        </w:rPr>
        <w:t xml:space="preserve">m Jahr 2006 von der </w:t>
      </w:r>
      <w:r w:rsidR="00AF3B58" w:rsidRPr="00AF3B58">
        <w:rPr>
          <w:rFonts w:eastAsia="Times New Roman"/>
          <w:i/>
          <w:szCs w:val="24"/>
        </w:rPr>
        <w:t>Bundesnetzagentur</w:t>
      </w:r>
      <w:r w:rsidR="00AF3B58" w:rsidRPr="00AF3B58">
        <w:rPr>
          <w:rFonts w:eastAsia="Times New Roman"/>
          <w:szCs w:val="24"/>
        </w:rPr>
        <w:t xml:space="preserve"> Festlegungen bezüglich einheitlicher </w:t>
      </w:r>
      <w:r w:rsidR="00AF3B58" w:rsidRPr="00AF3B58">
        <w:rPr>
          <w:rFonts w:eastAsia="Times New Roman"/>
          <w:i/>
          <w:szCs w:val="24"/>
        </w:rPr>
        <w:t>Geschäftsprozesse und Datenformate zur Abwicklung der Belieferung von Kunden mit Elektr</w:t>
      </w:r>
      <w:r w:rsidR="00AF3B58" w:rsidRPr="00AF3B58">
        <w:rPr>
          <w:rFonts w:eastAsia="Times New Roman"/>
          <w:i/>
          <w:szCs w:val="24"/>
        </w:rPr>
        <w:t>i</w:t>
      </w:r>
      <w:r w:rsidR="00AF3B58" w:rsidRPr="00AF3B58">
        <w:rPr>
          <w:rFonts w:eastAsia="Times New Roman"/>
          <w:i/>
          <w:szCs w:val="24"/>
        </w:rPr>
        <w:t xml:space="preserve">zität </w:t>
      </w:r>
      <w:r w:rsidR="00AF3B58" w:rsidRPr="00AF3B58">
        <w:rPr>
          <w:rFonts w:eastAsia="Times New Roman"/>
          <w:szCs w:val="24"/>
        </w:rPr>
        <w:t xml:space="preserve">(GPKE) getroffen. Enthalten war damals auch die erste Fassung des </w:t>
      </w:r>
      <w:r w:rsidR="00AF3B58" w:rsidRPr="00AF3B58">
        <w:rPr>
          <w:rFonts w:eastAsia="Times New Roman"/>
          <w:szCs w:val="24"/>
        </w:rPr>
        <w:lastRenderedPageBreak/>
        <w:t>Prozesses „Zählerstand-/Zählwertübermittlung“</w:t>
      </w:r>
      <w:r w:rsidR="00E152CE">
        <w:rPr>
          <w:rFonts w:eastAsia="Times New Roman"/>
          <w:szCs w:val="24"/>
        </w:rPr>
        <w:t>,</w:t>
      </w:r>
      <w:r w:rsidR="00AF3B58" w:rsidRPr="00AF3B58">
        <w:rPr>
          <w:rFonts w:eastAsia="Times New Roman"/>
          <w:szCs w:val="24"/>
          <w:vertAlign w:val="superscript"/>
        </w:rPr>
        <w:footnoteReference w:id="73"/>
      </w:r>
      <w:r w:rsidR="00AF3B58" w:rsidRPr="00AF3B58">
        <w:rPr>
          <w:rFonts w:eastAsia="Times New Roman"/>
          <w:szCs w:val="24"/>
        </w:rPr>
        <w:t xml:space="preserve"> welcher die Übermittlung der Messdaten vom Netzbetreiber an den Netznutzer regelte.</w:t>
      </w:r>
      <w:r w:rsidR="00AF3B58" w:rsidRPr="00AF3B58">
        <w:rPr>
          <w:rFonts w:eastAsia="Times New Roman"/>
          <w:szCs w:val="24"/>
          <w:vertAlign w:val="superscript"/>
        </w:rPr>
        <w:footnoteReference w:id="74"/>
      </w:r>
      <w:r w:rsidR="00AF3B58" w:rsidRPr="00AF3B58">
        <w:rPr>
          <w:rFonts w:eastAsia="Times New Roman"/>
          <w:szCs w:val="24"/>
        </w:rPr>
        <w:t xml:space="preserve"> Die neueste Fassung dieses Prozesses datiert nach der EnWG-Nov</w:t>
      </w:r>
      <w:r w:rsidR="00AF3B58">
        <w:rPr>
          <w:rFonts w:eastAsia="Times New Roman"/>
          <w:szCs w:val="24"/>
        </w:rPr>
        <w:t xml:space="preserve">elle des Jahres 2011 und hat das den </w:t>
      </w:r>
      <w:r w:rsidR="00AF3B58" w:rsidRPr="00AF3B58">
        <w:rPr>
          <w:rFonts w:eastAsia="Times New Roman"/>
          <w:szCs w:val="24"/>
        </w:rPr>
        <w:t>Prozess</w:t>
      </w:r>
      <w:r w:rsidR="00AF3B58">
        <w:rPr>
          <w:rFonts w:eastAsia="Times New Roman"/>
          <w:szCs w:val="24"/>
        </w:rPr>
        <w:t xml:space="preserve">en zugrundeliegende </w:t>
      </w:r>
      <w:r w:rsidR="00AF3B58" w:rsidRPr="00AF3B58">
        <w:rPr>
          <w:rFonts w:eastAsia="Times New Roman"/>
          <w:szCs w:val="24"/>
        </w:rPr>
        <w:t>Kommunikationsmodell u</w:t>
      </w:r>
      <w:r w:rsidR="00AF3B58" w:rsidRPr="00AF3B58">
        <w:rPr>
          <w:rFonts w:eastAsia="Times New Roman"/>
          <w:szCs w:val="24"/>
        </w:rPr>
        <w:t>n</w:t>
      </w:r>
      <w:r w:rsidR="00AF3B58" w:rsidRPr="00AF3B58">
        <w:rPr>
          <w:rFonts w:eastAsia="Times New Roman"/>
          <w:szCs w:val="24"/>
        </w:rPr>
        <w:t>verändert gelassen.</w:t>
      </w:r>
      <w:r w:rsidR="00AF3B58" w:rsidRPr="00AF3B58">
        <w:rPr>
          <w:rFonts w:eastAsia="Times New Roman"/>
          <w:szCs w:val="24"/>
          <w:vertAlign w:val="superscript"/>
        </w:rPr>
        <w:footnoteReference w:id="75"/>
      </w:r>
      <w:r w:rsidR="00AF3B58">
        <w:rPr>
          <w:rFonts w:eastAsia="Times New Roman"/>
          <w:szCs w:val="24"/>
        </w:rPr>
        <w:t xml:space="preserve"> </w:t>
      </w:r>
    </w:p>
    <w:p w:rsidR="00AF3B58" w:rsidRPr="00AF3B58" w:rsidRDefault="00AF3B58" w:rsidP="006E7507">
      <w:r>
        <w:t>Bei den Festlegungen handelt es sich um Verwaltungsakte in Form von Allgemeinverfügungen, die dementsprechend für die betroffenen Markta</w:t>
      </w:r>
      <w:r>
        <w:t>k</w:t>
      </w:r>
      <w:r>
        <w:t>teure verbindlich sind. Diese Rechtsnatur ergibt sich schon aus § 60a Abs. 2 EnWG.</w:t>
      </w:r>
      <w:r w:rsidR="00AF679B">
        <w:rPr>
          <w:rStyle w:val="Funotenzeichen"/>
        </w:rPr>
        <w:footnoteReference w:id="76"/>
      </w:r>
      <w:r>
        <w:t xml:space="preserve"> Diese Allgemeinverfügungen werden grundsätzlich mit einem Widerrufsvorbehalt versehen und können auch atypisch auf Grundlage des §</w:t>
      </w:r>
      <w:r w:rsidR="009B014A">
        <w:t> </w:t>
      </w:r>
      <w:r>
        <w:t>29 Abs. 2 EnWG nachträglich geändert werden. Unter dem Gesichtspunkt eines gesteigerten Vertrauensschutzes hat</w:t>
      </w:r>
      <w:r w:rsidR="004F2FF7">
        <w:t>te</w:t>
      </w:r>
      <w:r>
        <w:t xml:space="preserve"> die Energiewirtschaft mittle</w:t>
      </w:r>
      <w:r>
        <w:t>r</w:t>
      </w:r>
      <w:r>
        <w:t>weile jedoch erhebliche Investitionen in ihr</w:t>
      </w:r>
      <w:r w:rsidR="004F2FF7">
        <w:t>e Systeme getätigt. Deswegen war</w:t>
      </w:r>
      <w:r>
        <w:t xml:space="preserve"> unter dem Gesichtspunkt der notwendigen Willkürfreiheit </w:t>
      </w:r>
      <w:proofErr w:type="gramStart"/>
      <w:r>
        <w:t>ein</w:t>
      </w:r>
      <w:r w:rsidR="003C4460">
        <w:t>e</w:t>
      </w:r>
      <w:r w:rsidR="00AF679B">
        <w:t xml:space="preserve"> abä</w:t>
      </w:r>
      <w:r w:rsidR="00AF679B">
        <w:t>n</w:t>
      </w:r>
      <w:r w:rsidR="00AF679B">
        <w:t>dernden</w:t>
      </w:r>
      <w:proofErr w:type="gramEnd"/>
      <w:r w:rsidR="00AF679B">
        <w:t xml:space="preserve"> Entscheidung hinsichtlich einer</w:t>
      </w:r>
      <w:r>
        <w:t xml:space="preserve"> nicht unbedingt notwendige</w:t>
      </w:r>
      <w:r w:rsidR="00E152CE">
        <w:t>n</w:t>
      </w:r>
      <w:r>
        <w:t xml:space="preserve"> grundsätzliche</w:t>
      </w:r>
      <w:r w:rsidR="00E152CE">
        <w:t>n</w:t>
      </w:r>
      <w:r>
        <w:t xml:space="preserve"> Änderung nicht zulässig. Denn dies </w:t>
      </w:r>
      <w:r w:rsidR="00AF679B">
        <w:t>hätte</w:t>
      </w:r>
      <w:r w:rsidR="004F2FF7">
        <w:t xml:space="preserve"> </w:t>
      </w:r>
      <w:r>
        <w:t>dem Sinn der durch die Festlegungen angestrebten Vereinheitlichung, die gerade auch kleineren Akteuren den Marktzu</w:t>
      </w:r>
      <w:r w:rsidR="004F2FF7">
        <w:t>gang erleichtern soll, widerspro</w:t>
      </w:r>
      <w:r>
        <w:t>chen. Info</w:t>
      </w:r>
      <w:r>
        <w:t>l</w:t>
      </w:r>
      <w:r>
        <w:t xml:space="preserve">gedessen muss als „Status Quo“ festgehalten werden, dass das Paradigma der Kettenkommunikation jedenfalls derzeit geltendes Marktrecht ist. </w:t>
      </w:r>
    </w:p>
    <w:p w:rsidR="00AF3B58" w:rsidRDefault="00AF3B58" w:rsidP="006E7507">
      <w:r>
        <w:t>Im Kern folgen die dort festgelegten Prozesse zur Marktkommunikation mit Messdaten nach wie vor dem Prinzip der „</w:t>
      </w:r>
      <w:r w:rsidRPr="000D2383">
        <w:rPr>
          <w:i/>
        </w:rPr>
        <w:t>Kettenkommunikation</w:t>
      </w:r>
      <w:r>
        <w:t>“. Die Messdaten werden demnach vom jeweils zuständigen MSB erhoben und an die berechtigten Marktteilnehmer weitergeleitet.</w:t>
      </w:r>
      <w:r w:rsidR="006D171B">
        <w:t xml:space="preserve"> </w:t>
      </w:r>
      <w:r>
        <w:t>Die Weiterleitung wied</w:t>
      </w:r>
      <w:r>
        <w:t>e</w:t>
      </w:r>
      <w:r>
        <w:lastRenderedPageBreak/>
        <w:t>rum wird durch die damalige MessZV sowie durch Festlegungen der BNetzA konkretisiert. So ist der VNB nach § 4 Abs. 4 MessZV zur Übe</w:t>
      </w:r>
      <w:r>
        <w:t>r</w:t>
      </w:r>
      <w:r>
        <w:t>mittlung abrechnungs</w:t>
      </w:r>
      <w:r w:rsidR="00E152CE">
        <w:t xml:space="preserve">relevanter </w:t>
      </w:r>
      <w:r w:rsidR="00235C86">
        <w:t>–</w:t>
      </w:r>
      <w:r w:rsidR="00E152CE">
        <w:t xml:space="preserve"> und somit </w:t>
      </w:r>
      <w:r>
        <w:t>netzentgelt- oder bilanzierung</w:t>
      </w:r>
      <w:r>
        <w:t>s</w:t>
      </w:r>
      <w:r>
        <w:t>relevanter</w:t>
      </w:r>
      <w:r w:rsidR="006D171B">
        <w:t xml:space="preserve"> –</w:t>
      </w:r>
      <w:r>
        <w:t xml:space="preserve"> Messdaten an den Netznutzer, und damit den Lieferanten, </w:t>
      </w:r>
      <w:r w:rsidR="00235C86">
        <w:br/>
      </w:r>
      <w:r>
        <w:t>verpflichtet. § 4 Abs. 3 Mess</w:t>
      </w:r>
      <w:r w:rsidR="003C4460">
        <w:t>ZV wiederum verpflichtet den Messstellenb</w:t>
      </w:r>
      <w:r w:rsidR="003C4460">
        <w:t>e</w:t>
      </w:r>
      <w:r w:rsidR="003C4460">
        <w:t>treiber, dem Verteilnetzbetreiber</w:t>
      </w:r>
      <w:r>
        <w:t xml:space="preserve"> die hierzu benötigten Daten zu übermitteln. Darüber hin</w:t>
      </w:r>
      <w:r w:rsidR="003C4460">
        <w:t>aus ist der Verteilnetzbetreiber</w:t>
      </w:r>
      <w:r>
        <w:t xml:space="preserve"> im Rahmen des oben erwähnten Bilanzkreissystems verpflichtet, bilanzierungsrelevante Messdaten an den jeweiligen Bilanzkreiskoordinator (üblicher</w:t>
      </w:r>
      <w:r w:rsidR="003C4460">
        <w:t>weise der Übertragungsnetz</w:t>
      </w:r>
      <w:r w:rsidR="00235C86">
        <w:softHyphen/>
      </w:r>
      <w:r w:rsidR="003C4460">
        <w:t>betreiber</w:t>
      </w:r>
      <w:r>
        <w:t>) zu übermitteln.</w:t>
      </w:r>
    </w:p>
    <w:p w:rsidR="000D2383" w:rsidRDefault="000D2383" w:rsidP="006E7507">
      <w:r>
        <w:t xml:space="preserve">Das </w:t>
      </w:r>
      <w:r w:rsidR="00804260">
        <w:t xml:space="preserve">BSI </w:t>
      </w:r>
      <w:r>
        <w:t xml:space="preserve">trat, noch ohne bereichsspezifisch explizit normiertes Mandat, </w:t>
      </w:r>
      <w:r w:rsidR="003C4460">
        <w:t xml:space="preserve">als </w:t>
      </w:r>
      <w:r w:rsidR="00804260">
        <w:t>weitere</w:t>
      </w:r>
      <w:r w:rsidR="003C4460">
        <w:t>r</w:t>
      </w:r>
      <w:r w:rsidR="00804260">
        <w:t xml:space="preserve"> Akteur </w:t>
      </w:r>
      <w:r>
        <w:t xml:space="preserve">im September 2010 in den Prozess der Entwicklung des </w:t>
      </w:r>
      <w:r w:rsidR="00E152CE">
        <w:t xml:space="preserve">Smart Grid ein. </w:t>
      </w:r>
      <w:r>
        <w:t xml:space="preserve">Das </w:t>
      </w:r>
      <w:r w:rsidR="004F264E">
        <w:t>BMWi</w:t>
      </w:r>
      <w:r w:rsidR="006D171B">
        <w:t xml:space="preserve"> </w:t>
      </w:r>
      <w:r w:rsidR="007E1FFF">
        <w:t xml:space="preserve">hielt - </w:t>
      </w:r>
      <w:r>
        <w:t>vor dem Hintergrund eines europarech</w:t>
      </w:r>
      <w:r>
        <w:t>t</w:t>
      </w:r>
      <w:r>
        <w:t>lich vorgegebenen strengen Rollout Planes</w:t>
      </w:r>
      <w:r>
        <w:rPr>
          <w:rStyle w:val="Funotenzeichen"/>
          <w:rFonts w:ascii="Calibri" w:hAnsi="Calibri"/>
          <w:sz w:val="22"/>
        </w:rPr>
        <w:footnoteReference w:id="77"/>
      </w:r>
      <w:r w:rsidR="007E1FFF">
        <w:t xml:space="preserve"> - </w:t>
      </w:r>
      <w:r>
        <w:t>die Sicherstellung von Date</w:t>
      </w:r>
      <w:r>
        <w:t>n</w:t>
      </w:r>
      <w:r>
        <w:t>schutz und Datensicherheit</w:t>
      </w:r>
      <w:r w:rsidR="006D171B">
        <w:t xml:space="preserve"> </w:t>
      </w:r>
      <w:r>
        <w:t>durch Anforderungen an die Sicherheitsarchite</w:t>
      </w:r>
      <w:r>
        <w:t>k</w:t>
      </w:r>
      <w:r>
        <w:t>tur von intelligenten Netzen in Form eines Schutzprofils für erforderlich.</w:t>
      </w:r>
      <w:r w:rsidRPr="000D2383">
        <w:t xml:space="preserve"> </w:t>
      </w:r>
      <w:r>
        <w:t>Im September 2010 wurde das BSI zu Erarbeitung dementsprechender Schut</w:t>
      </w:r>
      <w:r>
        <w:t>z</w:t>
      </w:r>
      <w:r>
        <w:t xml:space="preserve">profile und </w:t>
      </w:r>
      <w:r w:rsidRPr="00253BE2">
        <w:t>sowie daran anschließend einer Technischen Richtlinie</w:t>
      </w:r>
      <w:r>
        <w:t xml:space="preserve"> vom BMWi beauftragt.</w:t>
      </w:r>
      <w:r>
        <w:rPr>
          <w:rStyle w:val="Funotenzeichen"/>
        </w:rPr>
        <w:footnoteReference w:id="78"/>
      </w:r>
      <w:r w:rsidR="005E241C">
        <w:t xml:space="preserve"> </w:t>
      </w:r>
      <w:r>
        <w:t>Das BSI begann daraufhin Anfang 2011 mit der Erste</w:t>
      </w:r>
      <w:r>
        <w:t>l</w:t>
      </w:r>
      <w:r>
        <w:t xml:space="preserve">lung eines </w:t>
      </w:r>
      <w:r w:rsidRPr="00D4660A">
        <w:rPr>
          <w:i/>
        </w:rPr>
        <w:t>produktbezogenen</w:t>
      </w:r>
      <w:r>
        <w:t xml:space="preserve"> ersten Entwurfes zum </w:t>
      </w:r>
      <w:r w:rsidRPr="005E241C">
        <w:rPr>
          <w:i/>
        </w:rPr>
        <w:t>Schutzprofil für die Kommunikationseinheit eines Intelligenten Messsystems für Stoff und Ene</w:t>
      </w:r>
      <w:r w:rsidRPr="005E241C">
        <w:rPr>
          <w:i/>
        </w:rPr>
        <w:t>r</w:t>
      </w:r>
      <w:r w:rsidRPr="005E241C">
        <w:rPr>
          <w:i/>
        </w:rPr>
        <w:t>giemengen</w:t>
      </w:r>
      <w:r>
        <w:rPr>
          <w:rStyle w:val="Funotenzeichen"/>
        </w:rPr>
        <w:footnoteReference w:id="79"/>
      </w:r>
      <w:r>
        <w:t xml:space="preserve"> und dem dazugehörigen </w:t>
      </w:r>
      <w:r w:rsidRPr="005E241C">
        <w:rPr>
          <w:i/>
        </w:rPr>
        <w:t xml:space="preserve">Schutzprofil für das Sicherheitsmodul </w:t>
      </w:r>
      <w:r w:rsidRPr="005E241C">
        <w:rPr>
          <w:i/>
        </w:rPr>
        <w:lastRenderedPageBreak/>
        <w:t>der Kommunikationseinheit eines intelligenten</w:t>
      </w:r>
      <w:r>
        <w:t xml:space="preserve"> </w:t>
      </w:r>
      <w:r w:rsidRPr="005E241C">
        <w:rPr>
          <w:i/>
        </w:rPr>
        <w:t>Messsystems für Stoff- und Energiemengen</w:t>
      </w:r>
      <w:r>
        <w:rPr>
          <w:rStyle w:val="Funotenzeichen"/>
        </w:rPr>
        <w:footnoteReference w:id="80"/>
      </w:r>
      <w:r>
        <w:t>.</w:t>
      </w:r>
      <w:r>
        <w:rPr>
          <w:rStyle w:val="Funotenzeichen"/>
        </w:rPr>
        <w:footnoteReference w:id="81"/>
      </w:r>
    </w:p>
    <w:p w:rsidR="000D2383" w:rsidRDefault="000D2383" w:rsidP="00B10FE7">
      <w:r>
        <w:t xml:space="preserve">Das primär </w:t>
      </w:r>
      <w:r w:rsidRPr="00D4660A">
        <w:rPr>
          <w:i/>
        </w:rPr>
        <w:t>produktbezogene Schutzprofil</w:t>
      </w:r>
      <w:r>
        <w:t xml:space="preserve"> für die </w:t>
      </w:r>
      <w:r w:rsidRPr="00D4660A">
        <w:t xml:space="preserve">Kommunikationseinheit eines Intelligenten Messsystems </w:t>
      </w:r>
      <w:r>
        <w:t>hat die Aufgabe strukturiert Bedrohungen darzulegen und die Mindestanforderungen für entsprechende Sicherheit</w:t>
      </w:r>
      <w:r>
        <w:t>s</w:t>
      </w:r>
      <w:r>
        <w:t>maßnahmen zu definieren. Der Aufbau eines Schutzprofils ist in den Co</w:t>
      </w:r>
      <w:r>
        <w:t>m</w:t>
      </w:r>
      <w:r>
        <w:t>mon Criteria ge</w:t>
      </w:r>
      <w:r w:rsidR="002F32B4">
        <w:t xml:space="preserve">regelt. </w:t>
      </w:r>
      <w:r>
        <w:t xml:space="preserve">Es beansprucht dabei technikneutral und offen für neue technische Möglichkeiten zu sein. Zudem stellt es die Grundlage für eine mögliche Evaluierung von </w:t>
      </w:r>
      <w:r w:rsidRPr="004D36AA">
        <w:rPr>
          <w:i/>
        </w:rPr>
        <w:t>Produkten</w:t>
      </w:r>
      <w:r>
        <w:t xml:space="preserve"> dar, welche nach positiv erfolgter Prüfung ein Zertifikat über die Erfüllung der Schutzziele erhalten. </w:t>
      </w:r>
    </w:p>
    <w:p w:rsidR="000D2383" w:rsidRDefault="000D2383" w:rsidP="00B10FE7">
      <w:r>
        <w:t>Das Schutzprofil fokussiert bislang lediglich auf die zu erfüllende Siche</w:t>
      </w:r>
      <w:r>
        <w:t>r</w:t>
      </w:r>
      <w:r>
        <w:t>heitsleitung des Gateways als Kommunikationseinheit eines intelligenten Messsystems, dessen zentrale Aufgabe die Verbindung des elektronischen Zählers im lokalen metrologischen Netz (LMN/MAN) mit den verschied</w:t>
      </w:r>
      <w:r>
        <w:t>e</w:t>
      </w:r>
      <w:r>
        <w:t>nen Marktteilnehmern im Weiterverkehrsnetz (WAN) und dem Endverbra</w:t>
      </w:r>
      <w:r>
        <w:t>u</w:t>
      </w:r>
      <w:r>
        <w:t>cher im lokalen Heimnetz (HAN).</w:t>
      </w:r>
      <w:r>
        <w:rPr>
          <w:rStyle w:val="Funotenzeichen"/>
        </w:rPr>
        <w:footnoteReference w:id="82"/>
      </w:r>
      <w:r>
        <w:t xml:space="preserve"> Hierfür definiert das Schutzprofil log</w:t>
      </w:r>
      <w:r>
        <w:t>i</w:t>
      </w:r>
      <w:r>
        <w:t>sche Schnittstellen flankiert von einer Display Schnittstelle für die lokale Visualisierung der Verbrauchsdaten und einer Schnittstelle zu einem phys</w:t>
      </w:r>
      <w:r>
        <w:t>i</w:t>
      </w:r>
      <w:r>
        <w:t>kalisch integrierten Sicherheitsmodul des Gateways.</w:t>
      </w:r>
    </w:p>
    <w:p w:rsidR="000D2383" w:rsidRDefault="000D2383" w:rsidP="00B10FE7">
      <w:r>
        <w:t xml:space="preserve">Die Perspektive des Schutzprofiles ging nun von einer </w:t>
      </w:r>
      <w:r w:rsidRPr="00711979">
        <w:rPr>
          <w:b/>
          <w:i/>
        </w:rPr>
        <w:t>sternförmigen Kommunikationsstruktur</w:t>
      </w:r>
      <w:r>
        <w:t xml:space="preserve"> aus, in welcher durch </w:t>
      </w:r>
      <w:proofErr w:type="gramStart"/>
      <w:r>
        <w:t>das</w:t>
      </w:r>
      <w:proofErr w:type="gramEnd"/>
      <w:r>
        <w:t xml:space="preserve"> Gateway die Komm</w:t>
      </w:r>
      <w:r>
        <w:t>u</w:t>
      </w:r>
      <w:r>
        <w:t>nikationswege zu jedem einzelnen Marktteilnehmer ermöglicht werden. Die Kommunikationswege werden im Sinne einer Gewährleistung von Authe</w:t>
      </w:r>
      <w:r>
        <w:t>n</w:t>
      </w:r>
      <w:r>
        <w:t>tizität, Integrität und Vertraulichkeit separiert und kryptographisch ges</w:t>
      </w:r>
      <w:r>
        <w:t>i</w:t>
      </w:r>
      <w:r>
        <w:t xml:space="preserve">chert, um die Messwerte dann signiert und verschlüsselt an autorisierte </w:t>
      </w:r>
      <w:r>
        <w:lastRenderedPageBreak/>
        <w:t>Marktakteure weiterzugeben.</w:t>
      </w:r>
      <w:r w:rsidR="006D171B">
        <w:t xml:space="preserve"> </w:t>
      </w:r>
      <w:r>
        <w:t>Eine Weitergabe von Daten von den Mark</w:t>
      </w:r>
      <w:r>
        <w:t>t</w:t>
      </w:r>
      <w:r>
        <w:t>teilnehmern an Dritte ist somit nicht vorgesehen. Grund hierfür ist die A</w:t>
      </w:r>
      <w:r>
        <w:t>n</w:t>
      </w:r>
      <w:r>
        <w:t>nahme</w:t>
      </w:r>
      <w:r w:rsidR="005E241C">
        <w:t>,</w:t>
      </w:r>
      <w:r>
        <w:t xml:space="preserve"> datenschutzrechtliche Vorkehrungen seien durch die Implementi</w:t>
      </w:r>
      <w:r>
        <w:t>e</w:t>
      </w:r>
      <w:r>
        <w:t>rung von Sicherungsmechanismen für die Datenhoheit des Kunden zu verwirklichen.</w:t>
      </w:r>
      <w:r w:rsidR="006D171B">
        <w:t xml:space="preserve"> </w:t>
      </w:r>
      <w:r>
        <w:t xml:space="preserve">Damit ist Ziel der </w:t>
      </w:r>
      <w:r w:rsidRPr="009664A4">
        <w:rPr>
          <w:i/>
        </w:rPr>
        <w:t>sternförmige</w:t>
      </w:r>
      <w:r w:rsidR="004F264E">
        <w:rPr>
          <w:i/>
        </w:rPr>
        <w:t>n</w:t>
      </w:r>
      <w:r w:rsidRPr="009664A4">
        <w:rPr>
          <w:i/>
        </w:rPr>
        <w:t xml:space="preserve"> Kommunikation</w:t>
      </w:r>
      <w:r>
        <w:t xml:space="preserve"> des Gat</w:t>
      </w:r>
      <w:r>
        <w:t>e</w:t>
      </w:r>
      <w:r>
        <w:t>ways, „</w:t>
      </w:r>
      <w:r w:rsidRPr="004574B9">
        <w:rPr>
          <w:i/>
        </w:rPr>
        <w:t xml:space="preserve">dass der Kunde in die Lage versetzt wird, </w:t>
      </w:r>
      <w:r w:rsidR="003C4460">
        <w:rPr>
          <w:i/>
        </w:rPr>
        <w:t>eine detaillierte</w:t>
      </w:r>
      <w:r w:rsidRPr="004574B9">
        <w:rPr>
          <w:i/>
        </w:rPr>
        <w:t xml:space="preserve"> Übersicht über seinen Verbrauch zu erhalten, ohne dass hoch aufgelöste Verbrauch</w:t>
      </w:r>
      <w:r w:rsidRPr="004574B9">
        <w:rPr>
          <w:i/>
        </w:rPr>
        <w:t>s</w:t>
      </w:r>
      <w:r w:rsidRPr="004574B9">
        <w:rPr>
          <w:i/>
        </w:rPr>
        <w:t>daten an Dritte weitergeleitet werden müssen</w:t>
      </w:r>
      <w:r>
        <w:rPr>
          <w:i/>
        </w:rPr>
        <w:t>“</w:t>
      </w:r>
      <w:r w:rsidRPr="004574B9">
        <w:rPr>
          <w:i/>
        </w:rPr>
        <w:t>.</w:t>
      </w:r>
      <w:r>
        <w:rPr>
          <w:rStyle w:val="Funotenzeichen"/>
        </w:rPr>
        <w:footnoteReference w:id="83"/>
      </w:r>
      <w:r>
        <w:t xml:space="preserve"> Im Schutzprofil wird zur Sicherung der Ausübung der materiellen Datenhoheit zudem eine Ei</w:t>
      </w:r>
      <w:r>
        <w:t>n</w:t>
      </w:r>
      <w:r>
        <w:t>satzumgebung des Gateways festgelegt, welche es dem Kunden erlaubt</w:t>
      </w:r>
      <w:r w:rsidR="005E241C">
        <w:t>,</w:t>
      </w:r>
      <w:r>
        <w:t xml:space="preserve"> sich jederzeit von der physischen Unversehrtheit des Gateways zu überzeugen. Im Sinne der Datensparsamkeit und Datenvermeidung sollen ausschließlich abrechnungsrelevante Werte oder Betriebsdaten in pseudonymisierter Form </w:t>
      </w:r>
      <w:proofErr w:type="gramStart"/>
      <w:r>
        <w:t>das</w:t>
      </w:r>
      <w:proofErr w:type="gramEnd"/>
      <w:r>
        <w:t xml:space="preserve"> Gateway verlassen. </w:t>
      </w:r>
    </w:p>
    <w:p w:rsidR="00AF3B58" w:rsidRDefault="00AF3B58" w:rsidP="002A7D97">
      <w:pPr>
        <w:pStyle w:val="berschrift6"/>
      </w:pPr>
      <w:bookmarkStart w:id="69" w:name="_Toc490827378"/>
      <w:r>
        <w:t>Defizit</w:t>
      </w:r>
      <w:bookmarkEnd w:id="69"/>
    </w:p>
    <w:p w:rsidR="00D959E5" w:rsidRDefault="000D2383" w:rsidP="006E7507">
      <w:pPr>
        <w:rPr>
          <w:color w:val="808080" w:themeColor="background1" w:themeShade="80"/>
        </w:rPr>
      </w:pPr>
      <w:r>
        <w:t>Die Beauftragung des BSI ohne einen verfahrensrechtlich fixierten Rahmen zur Kooperation</w:t>
      </w:r>
      <w:r w:rsidR="00726B68">
        <w:t xml:space="preserve"> könnte </w:t>
      </w:r>
      <w:r w:rsidR="00482344">
        <w:t xml:space="preserve">sich </w:t>
      </w:r>
      <w:r w:rsidR="00726B68">
        <w:t xml:space="preserve">als defizitär hinsichtlich des </w:t>
      </w:r>
      <w:r w:rsidR="00726B68" w:rsidRPr="00711979">
        <w:rPr>
          <w:b/>
          <w:i/>
        </w:rPr>
        <w:t>legislativen E</w:t>
      </w:r>
      <w:r w:rsidR="00726B68" w:rsidRPr="00711979">
        <w:rPr>
          <w:b/>
          <w:i/>
        </w:rPr>
        <w:t>r</w:t>
      </w:r>
      <w:r w:rsidR="00726B68" w:rsidRPr="00711979">
        <w:rPr>
          <w:b/>
          <w:i/>
        </w:rPr>
        <w:t>fahrungswissens</w:t>
      </w:r>
      <w:r w:rsidR="00726B68">
        <w:rPr>
          <w:i/>
        </w:rPr>
        <w:t xml:space="preserve"> </w:t>
      </w:r>
      <w:r w:rsidR="00726B68" w:rsidRPr="00726B68">
        <w:t>erweisen.</w:t>
      </w:r>
      <w:r w:rsidR="00726B68">
        <w:t xml:space="preserve"> </w:t>
      </w:r>
      <w:r w:rsidR="00A2199F">
        <w:t>Die gesetzliche Konzeption weist unter dem Aspekt des technisch gestützten Datenschutzes bzw. der Datensicherheit primär auf die Umsetzung der Schutzmechanismen der a</w:t>
      </w:r>
      <w:r w:rsidR="005E241C">
        <w:t>m Anfang der I</w:t>
      </w:r>
      <w:r w:rsidR="005E241C">
        <w:t>n</w:t>
      </w:r>
      <w:r w:rsidR="005E241C">
        <w:t>formationskette</w:t>
      </w:r>
      <w:r w:rsidR="006D171B">
        <w:t xml:space="preserve"> –</w:t>
      </w:r>
      <w:r w:rsidR="005E241C">
        <w:t xml:space="preserve"> und damit auf dem Messsystem </w:t>
      </w:r>
      <w:r w:rsidR="00235C86">
        <w:t xml:space="preserve">– </w:t>
      </w:r>
      <w:r w:rsidR="00A2199F">
        <w:t>hin, was sich explizit in den Motiven des Gesetzgebungsverfahrens wiederspiegelt.</w:t>
      </w:r>
      <w:r w:rsidR="00A2199F">
        <w:rPr>
          <w:rStyle w:val="Funotenzeichen"/>
        </w:rPr>
        <w:footnoteReference w:id="84"/>
      </w:r>
      <w:r w:rsidR="00A2199F">
        <w:t xml:space="preserve"> Der technische Datenschutz sichert nach diesem Konzept jedoch lediglich die sog. „Date</w:t>
      </w:r>
      <w:r w:rsidR="00A2199F">
        <w:t>n</w:t>
      </w:r>
      <w:r w:rsidR="00A2199F">
        <w:t>hoheit“</w:t>
      </w:r>
      <w:r w:rsidR="00A2199F">
        <w:rPr>
          <w:rStyle w:val="Funotenzeichen"/>
        </w:rPr>
        <w:footnoteReference w:id="85"/>
      </w:r>
      <w:r w:rsidR="00A2199F">
        <w:t xml:space="preserve"> des Nutzers über die Verwendung der Messdaten </w:t>
      </w:r>
      <w:r w:rsidR="00235C86">
        <w:t>–</w:t>
      </w:r>
      <w:r w:rsidR="00A2199F">
        <w:t xml:space="preserve"> sowohl im als </w:t>
      </w:r>
      <w:r w:rsidR="00A2199F" w:rsidRPr="00235C86">
        <w:rPr>
          <w:w w:val="99"/>
        </w:rPr>
        <w:t xml:space="preserve">auch aus dem Messsystem </w:t>
      </w:r>
      <w:r w:rsidR="00235C86" w:rsidRPr="00235C86">
        <w:rPr>
          <w:w w:val="99"/>
        </w:rPr>
        <w:t>–</w:t>
      </w:r>
      <w:r w:rsidR="00A2199F" w:rsidRPr="00235C86">
        <w:rPr>
          <w:w w:val="99"/>
        </w:rPr>
        <w:t xml:space="preserve"> in der Phase der Erhebung durch die berechtigte</w:t>
      </w:r>
      <w:r w:rsidR="00A2199F">
        <w:t xml:space="preserve"> </w:t>
      </w:r>
      <w:r w:rsidR="00A2199F">
        <w:lastRenderedPageBreak/>
        <w:t xml:space="preserve">Stelle. </w:t>
      </w:r>
      <w:r w:rsidR="00D71BB6">
        <w:t>In den Spezifikationen und Erläuterungen zum Schutzprofil</w:t>
      </w:r>
      <w:r w:rsidR="00D71BB6">
        <w:rPr>
          <w:rStyle w:val="Funotenzeichen"/>
        </w:rPr>
        <w:footnoteReference w:id="86"/>
      </w:r>
      <w:r w:rsidR="00D71BB6">
        <w:t xml:space="preserve"> und zur Technischen Richtlinie</w:t>
      </w:r>
      <w:r w:rsidR="00D71BB6">
        <w:rPr>
          <w:rStyle w:val="Funotenzeichen"/>
        </w:rPr>
        <w:footnoteReference w:id="87"/>
      </w:r>
      <w:r w:rsidR="00D71BB6">
        <w:t xml:space="preserve"> wird dabei im Gegensatz </w:t>
      </w:r>
      <w:r w:rsidR="005E241C">
        <w:t>zu der</w:t>
      </w:r>
      <w:r w:rsidR="00D959E5" w:rsidRPr="00D959E5">
        <w:t xml:space="preserve"> oben </w:t>
      </w:r>
      <w:r w:rsidR="000F42EB">
        <w:t>erläuterte</w:t>
      </w:r>
      <w:r w:rsidR="005E241C">
        <w:t>n</w:t>
      </w:r>
      <w:r w:rsidR="000F42EB">
        <w:t xml:space="preserve"> Verbindlichkeit der</w:t>
      </w:r>
      <w:r w:rsidR="00D959E5" w:rsidRPr="00D959E5">
        <w:t xml:space="preserve"> Vorgaben für die Marktkommunikation davon ausg</w:t>
      </w:r>
      <w:r w:rsidR="00D959E5" w:rsidRPr="00D959E5">
        <w:t>e</w:t>
      </w:r>
      <w:r w:rsidR="00D959E5" w:rsidRPr="00D959E5">
        <w:t>gangen, dass das Gateway grundsätzlich mit einer Mehrzahl unterschiedl</w:t>
      </w:r>
      <w:r w:rsidR="00D959E5" w:rsidRPr="00D959E5">
        <w:t>i</w:t>
      </w:r>
      <w:r w:rsidR="00D959E5" w:rsidRPr="00D959E5">
        <w:t>cher Akteure kommuniziert, für die jeweils ein gesondertes Kommunikat</w:t>
      </w:r>
      <w:r w:rsidR="00D959E5" w:rsidRPr="00D959E5">
        <w:t>i</w:t>
      </w:r>
      <w:r w:rsidR="00D959E5" w:rsidRPr="00D959E5">
        <w:t>onsprofil auf dem Gateway hinterlegt wird.</w:t>
      </w:r>
      <w:r w:rsidR="00D959E5" w:rsidRPr="00D959E5">
        <w:rPr>
          <w:vertAlign w:val="superscript"/>
        </w:rPr>
        <w:footnoteReference w:id="88"/>
      </w:r>
      <w:r w:rsidR="00D959E5" w:rsidRPr="00D959E5">
        <w:t xml:space="preserve"> Nach Darstellung des </w:t>
      </w:r>
      <w:r w:rsidR="00D959E5" w:rsidRPr="00711979">
        <w:t>BS</w:t>
      </w:r>
      <w:r w:rsidR="00164E16" w:rsidRPr="00711979">
        <w:t>I</w:t>
      </w:r>
      <w:r w:rsidR="00D959E5" w:rsidRPr="00D959E5">
        <w:t xml:space="preserve"> soll durch diese Kommunikationsprofile sichergestellt werden, dass „nur berec</w:t>
      </w:r>
      <w:r w:rsidR="00D959E5" w:rsidRPr="00D959E5">
        <w:t>h</w:t>
      </w:r>
      <w:r w:rsidR="00D959E5" w:rsidRPr="00D959E5">
        <w:t>tigte Kommunikationspartner Zugriff auf die erfassten Werte haben“</w:t>
      </w:r>
      <w:r w:rsidR="00D959E5" w:rsidRPr="00D959E5">
        <w:rPr>
          <w:vertAlign w:val="superscript"/>
        </w:rPr>
        <w:footnoteReference w:id="89"/>
      </w:r>
      <w:r w:rsidR="00D959E5" w:rsidRPr="00D959E5">
        <w:t xml:space="preserve"> </w:t>
      </w:r>
      <w:r w:rsidR="00400AF9">
        <w:br/>
      </w:r>
      <w:r w:rsidR="00D959E5" w:rsidRPr="00D959E5">
        <w:t>und dass solche Messdaten, die zu anderen als zu Abrechnungszwecken an externe Kommunikationspartner übermittelt werden, keinen expliziten Pe</w:t>
      </w:r>
      <w:r w:rsidR="00D959E5" w:rsidRPr="00D959E5">
        <w:t>r</w:t>
      </w:r>
      <w:r w:rsidR="00D959E5" w:rsidRPr="00D959E5">
        <w:t>sonenbezug aufweisen.</w:t>
      </w:r>
      <w:r w:rsidR="00D959E5" w:rsidRPr="00D959E5">
        <w:rPr>
          <w:vertAlign w:val="superscript"/>
        </w:rPr>
        <w:footnoteReference w:id="90"/>
      </w:r>
      <w:r w:rsidR="00D959E5" w:rsidRPr="00D959E5">
        <w:t xml:space="preserve"> Dies lässt darauf schließen, dass bei der Ausgesta</w:t>
      </w:r>
      <w:r w:rsidR="00D959E5" w:rsidRPr="00D959E5">
        <w:t>l</w:t>
      </w:r>
      <w:r w:rsidR="00D959E5" w:rsidRPr="00D959E5">
        <w:t xml:space="preserve">tung des Schutzprofils im Grundsatz von einem </w:t>
      </w:r>
      <w:r w:rsidR="00D959E5" w:rsidRPr="00AF679B">
        <w:rPr>
          <w:b/>
          <w:i/>
        </w:rPr>
        <w:t>sternartigen Kommunikat</w:t>
      </w:r>
      <w:r w:rsidR="00D959E5" w:rsidRPr="00AF679B">
        <w:rPr>
          <w:b/>
          <w:i/>
        </w:rPr>
        <w:t>i</w:t>
      </w:r>
      <w:r w:rsidR="00D959E5" w:rsidRPr="00AF679B">
        <w:rPr>
          <w:b/>
          <w:i/>
        </w:rPr>
        <w:t>onsmodell</w:t>
      </w:r>
      <w:r w:rsidR="00D959E5" w:rsidRPr="00AF679B">
        <w:rPr>
          <w:b/>
        </w:rPr>
        <w:t xml:space="preserve"> </w:t>
      </w:r>
      <w:r w:rsidR="00D959E5" w:rsidRPr="00D959E5">
        <w:t>ausgegangen wurde, bei der die Kommunikation jeweils direkt zwischen dem Gateway und den unterschiedlichen Marktakteuren stattfi</w:t>
      </w:r>
      <w:r w:rsidR="00D959E5" w:rsidRPr="00D959E5">
        <w:t>n</w:t>
      </w:r>
      <w:r w:rsidR="00D959E5" w:rsidRPr="00D959E5">
        <w:t>det. Ähnliche Grundannahmen sind auch im ersten Entwurf zur Technischen Richtlinie zu Grunde gelegt, in welcher ebenfalls eine – jedenfalls dem Grundsatz nach – direkte Kommunikation zwischen Gateway und den unte</w:t>
      </w:r>
      <w:r w:rsidR="00D959E5" w:rsidRPr="00D959E5">
        <w:t>r</w:t>
      </w:r>
      <w:r w:rsidR="00D959E5" w:rsidRPr="00D959E5">
        <w:t xml:space="preserve">schiedlichen Marktteilnehmern angenommen wird, auch wenn diese hier </w:t>
      </w:r>
      <w:r w:rsidR="00D959E5" w:rsidRPr="00D959E5">
        <w:lastRenderedPageBreak/>
        <w:t>über den MSB geleitet wird.</w:t>
      </w:r>
      <w:r w:rsidR="00D959E5" w:rsidRPr="00D959E5">
        <w:rPr>
          <w:vertAlign w:val="superscript"/>
        </w:rPr>
        <w:footnoteReference w:id="91"/>
      </w:r>
      <w:r w:rsidR="00D959E5" w:rsidRPr="00D959E5">
        <w:t xml:space="preserve"> </w:t>
      </w:r>
      <w:r w:rsidR="000F42EB">
        <w:t xml:space="preserve">Daraus ergibt sich eine nicht auflösbare </w:t>
      </w:r>
      <w:r w:rsidR="00235C86">
        <w:br/>
      </w:r>
      <w:r w:rsidR="000F42EB" w:rsidRPr="009908F1">
        <w:rPr>
          <w:b/>
          <w:i/>
        </w:rPr>
        <w:t xml:space="preserve">Inkongruenz </w:t>
      </w:r>
      <w:r w:rsidR="000F42EB">
        <w:t>zwischen den technischen Schutzmechanismen und der ta</w:t>
      </w:r>
      <w:r w:rsidR="000F42EB">
        <w:t>t</w:t>
      </w:r>
      <w:r w:rsidR="000F42EB">
        <w:t>sächlichen Abwicklung der Marktkommunikation mit der Konsequenz, dass der Schutz bislang ins Leere laufen musste.</w:t>
      </w:r>
      <w:r w:rsidR="006D171B">
        <w:t xml:space="preserve"> </w:t>
      </w:r>
    </w:p>
    <w:p w:rsidR="00D959E5" w:rsidRDefault="00D959E5" w:rsidP="006E7507">
      <w:r w:rsidRPr="00D959E5">
        <w:t xml:space="preserve">Auch wenn </w:t>
      </w:r>
      <w:r w:rsidR="00AF3B58">
        <w:t xml:space="preserve">zum damaligen Zeitpunkt </w:t>
      </w:r>
      <w:r w:rsidRPr="00D959E5">
        <w:t>Schutzprofil und Technische Richtl</w:t>
      </w:r>
      <w:r w:rsidRPr="00D959E5">
        <w:t>i</w:t>
      </w:r>
      <w:r w:rsidRPr="00D959E5">
        <w:t xml:space="preserve">nie </w:t>
      </w:r>
      <w:r w:rsidRPr="003C4460">
        <w:t>a priori</w:t>
      </w:r>
      <w:r w:rsidRPr="00D959E5">
        <w:t xml:space="preserve"> lediglich Vorgaben für von zukünftigen intelligenten Messsy</w:t>
      </w:r>
      <w:r w:rsidRPr="00D959E5">
        <w:t>s</w:t>
      </w:r>
      <w:r w:rsidRPr="00D959E5">
        <w:t xml:space="preserve">temen </w:t>
      </w:r>
      <w:r w:rsidRPr="003C4460">
        <w:t>zu unterstützende</w:t>
      </w:r>
      <w:r w:rsidRPr="00D959E5">
        <w:t xml:space="preserve"> Funktionalitäten mach</w:t>
      </w:r>
      <w:r w:rsidR="004779DA">
        <w:t>t</w:t>
      </w:r>
      <w:r w:rsidRPr="00D959E5">
        <w:t xml:space="preserve">en, mitnichten aber die </w:t>
      </w:r>
      <w:r w:rsidR="00235C86">
        <w:br/>
      </w:r>
      <w:r w:rsidRPr="00D959E5">
        <w:t>tatsächliche Ausgestaltung der Messdatenkommunikation definier</w:t>
      </w:r>
      <w:r w:rsidR="004779DA">
        <w:t>t</w:t>
      </w:r>
      <w:r w:rsidRPr="00D959E5">
        <w:t>en, so zeichnet</w:t>
      </w:r>
      <w:r w:rsidR="00AF3B58">
        <w:t>e</w:t>
      </w:r>
      <w:r w:rsidRPr="00D959E5">
        <w:t xml:space="preserve"> sich dennoch ein grundsätzlicher Konflikt zwischen den beschri</w:t>
      </w:r>
      <w:r w:rsidRPr="00D959E5">
        <w:t>e</w:t>
      </w:r>
      <w:r w:rsidRPr="00D959E5">
        <w:t>benen Kommunikationsmodellen ab.</w:t>
      </w:r>
    </w:p>
    <w:p w:rsidR="00726B68" w:rsidRDefault="00E23BF3" w:rsidP="006E7507">
      <w:r>
        <w:t>Gesetzestext und Materialien untermauern die offensichtliche Wertung des Gesetzgebers</w:t>
      </w:r>
      <w:r w:rsidR="005E241C">
        <w:t>,</w:t>
      </w:r>
      <w:r>
        <w:t xml:space="preserve"> den technisch unterstützenden Datenschutz lediglich auf dem Endgerät zu realisieren. Aus diesen </w:t>
      </w:r>
      <w:r w:rsidR="003D3981">
        <w:t>ergibt</w:t>
      </w:r>
      <w:r w:rsidR="00ED46F4">
        <w:t xml:space="preserve"> sich das Motiv des Gesetzgebers den technischen Datenschutz primär beim Messsystem und damit in der Herrschaftssphäre des Nutzers zu implementieren und die technischen O</w:t>
      </w:r>
      <w:r w:rsidR="00AF679B">
        <w:t>b</w:t>
      </w:r>
      <w:r w:rsidR="00AF679B">
        <w:t>liegenheiten den unmittelbar „f</w:t>
      </w:r>
      <w:r w:rsidR="00ED46F4">
        <w:t xml:space="preserve">ernmessenden“ Akteuren aufzuerlegen. </w:t>
      </w:r>
      <w:r>
        <w:t>Hie</w:t>
      </w:r>
      <w:r>
        <w:t>r</w:t>
      </w:r>
      <w:r>
        <w:t>zu wird aus</w:t>
      </w:r>
      <w:r w:rsidR="003813B2">
        <w:t>geführt, § 21</w:t>
      </w:r>
      <w:r>
        <w:t xml:space="preserve">e </w:t>
      </w:r>
      <w:r w:rsidR="00F203A7">
        <w:t xml:space="preserve">EnWG </w:t>
      </w:r>
      <w:r>
        <w:t xml:space="preserve">lege </w:t>
      </w:r>
      <w:r w:rsidRPr="00E23BF3">
        <w:rPr>
          <w:i/>
        </w:rPr>
        <w:t>„eine ausnahmslose Geltung von noch in und aufgrund einer Rechtsverordnung im Einzelnen zu benennenden Datenschutz- Datensicherheits- und Interoperabilitätsanforderungen für Messsysteme fest“.</w:t>
      </w:r>
      <w:r>
        <w:rPr>
          <w:rStyle w:val="Funotenzeichen"/>
          <w:i/>
        </w:rPr>
        <w:footnoteReference w:id="92"/>
      </w:r>
      <w:r w:rsidR="00ED46F4">
        <w:rPr>
          <w:i/>
        </w:rPr>
        <w:t xml:space="preserve"> </w:t>
      </w:r>
      <w:r w:rsidR="00ED46F4" w:rsidRPr="00ED46F4">
        <w:t>In systematischer Hinsicht</w:t>
      </w:r>
      <w:r w:rsidR="00ED46F4">
        <w:rPr>
          <w:i/>
        </w:rPr>
        <w:t xml:space="preserve"> </w:t>
      </w:r>
      <w:r w:rsidR="00ED46F4" w:rsidRPr="00ED46F4">
        <w:t xml:space="preserve">ergibt sich </w:t>
      </w:r>
      <w:r w:rsidR="00ED46F4">
        <w:t xml:space="preserve">dies </w:t>
      </w:r>
      <w:r w:rsidR="00ED46F4" w:rsidRPr="00ED46F4">
        <w:t>zudem aus der gesetzl</w:t>
      </w:r>
      <w:r w:rsidR="00ED46F4">
        <w:t>ichen Überschrift, welche sich e</w:t>
      </w:r>
      <w:r w:rsidR="00ED46F4" w:rsidRPr="00ED46F4">
        <w:t xml:space="preserve">xplizit </w:t>
      </w:r>
      <w:r w:rsidR="00ED46F4">
        <w:t xml:space="preserve">auf die </w:t>
      </w:r>
      <w:r w:rsidR="00ED46F4" w:rsidRPr="00ED46F4">
        <w:rPr>
          <w:i/>
        </w:rPr>
        <w:t>„Allgemeine A</w:t>
      </w:r>
      <w:r w:rsidR="00ED46F4" w:rsidRPr="00ED46F4">
        <w:rPr>
          <w:i/>
        </w:rPr>
        <w:t>n</w:t>
      </w:r>
      <w:r w:rsidR="00ED46F4" w:rsidRPr="00ED46F4">
        <w:rPr>
          <w:i/>
        </w:rPr>
        <w:t xml:space="preserve">forderungen an Messsysteme zur Erfassung elektrischer Energie“ </w:t>
      </w:r>
      <w:r w:rsidR="00ED46F4">
        <w:t xml:space="preserve">und somit auf das Endgerät bezieht. Die systematische Stellung der Regelung lässt </w:t>
      </w:r>
      <w:r w:rsidR="00ED46F4">
        <w:lastRenderedPageBreak/>
        <w:t>auch nicht zwingend darauf schließen, dass neben den produktbezogenen Regeln zusätzliche technische</w:t>
      </w:r>
      <w:r w:rsidR="006D171B">
        <w:t xml:space="preserve"> </w:t>
      </w:r>
      <w:r w:rsidR="00ED46F4">
        <w:t>Maßnahmen entlang der Prozesskette ang</w:t>
      </w:r>
      <w:r w:rsidR="00ED46F4">
        <w:t>e</w:t>
      </w:r>
      <w:r w:rsidR="00ED46F4">
        <w:t>dacht waren. Mith</w:t>
      </w:r>
      <w:r w:rsidR="003813B2">
        <w:t>in ordnet der Normappel des §21</w:t>
      </w:r>
      <w:r w:rsidR="00ED46F4">
        <w:t>e Abs. 2</w:t>
      </w:r>
      <w:r w:rsidR="00164E16">
        <w:t xml:space="preserve"> EnWG </w:t>
      </w:r>
      <w:r w:rsidR="00ED46F4">
        <w:t>lediglich den Einsatz technischer Systeme an, welche ein</w:t>
      </w:r>
      <w:r w:rsidR="003813B2">
        <w:t>em Schutzprofil nach § 21</w:t>
      </w:r>
      <w:r w:rsidR="00ED46F4">
        <w:t xml:space="preserve">i </w:t>
      </w:r>
      <w:r w:rsidR="00F203A7">
        <w:t xml:space="preserve">EnWG </w:t>
      </w:r>
      <w:r w:rsidR="00ED46F4">
        <w:t>in Bezug a</w:t>
      </w:r>
      <w:r w:rsidR="00726B68">
        <w:t xml:space="preserve">uf das Messsystem entsprechen. </w:t>
      </w:r>
    </w:p>
    <w:p w:rsidR="00726B68" w:rsidRDefault="00726B68" w:rsidP="006E7507">
      <w:r>
        <w:t xml:space="preserve">Das </w:t>
      </w:r>
      <w:r w:rsidR="00412DF9">
        <w:t xml:space="preserve">eigentliche </w:t>
      </w:r>
      <w:r w:rsidRPr="00711979">
        <w:rPr>
          <w:b/>
          <w:i/>
        </w:rPr>
        <w:t>Defizit im Erfahrungswissen</w:t>
      </w:r>
      <w:r>
        <w:t xml:space="preserve"> könnte letztlich darin begrü</w:t>
      </w:r>
      <w:r>
        <w:t>n</w:t>
      </w:r>
      <w:r>
        <w:t xml:space="preserve">det sein, dass </w:t>
      </w:r>
      <w:r w:rsidRPr="00726B68">
        <w:t xml:space="preserve">im Ergebnis </w:t>
      </w:r>
      <w:r w:rsidR="00412DF9">
        <w:t xml:space="preserve">aus technischer Sicht </w:t>
      </w:r>
      <w:r w:rsidRPr="00726B68">
        <w:t xml:space="preserve">nur </w:t>
      </w:r>
      <w:r>
        <w:t>ein</w:t>
      </w:r>
      <w:r w:rsidRPr="00726B68">
        <w:t xml:space="preserve"> Ende-zu-Ende D</w:t>
      </w:r>
      <w:r w:rsidRPr="00726B68">
        <w:t>a</w:t>
      </w:r>
      <w:r w:rsidRPr="00726B68">
        <w:t xml:space="preserve">tenschutz </w:t>
      </w:r>
      <w:r w:rsidR="00412DF9">
        <w:t>sachgerecht für die Herausforderungen</w:t>
      </w:r>
      <w:r w:rsidR="00F55B3D">
        <w:t xml:space="preserve"> an die Informationelle Selbstbestimmung im Rahmen</w:t>
      </w:r>
      <w:r w:rsidR="00412DF9">
        <w:t xml:space="preserve"> des Smart</w:t>
      </w:r>
      <w:r w:rsidR="00C32826">
        <w:t xml:space="preserve"> </w:t>
      </w:r>
      <w:r w:rsidR="00412DF9">
        <w:t xml:space="preserve">Grid ist. </w:t>
      </w:r>
    </w:p>
    <w:p w:rsidR="00D959E5" w:rsidRPr="00AF3B58" w:rsidRDefault="007246E8" w:rsidP="002A7D97">
      <w:pPr>
        <w:pStyle w:val="berschrift6"/>
      </w:pPr>
      <w:bookmarkStart w:id="70" w:name="_Toc490827379"/>
      <w:r>
        <w:t>Einfluss des MsbG</w:t>
      </w:r>
      <w:bookmarkEnd w:id="70"/>
    </w:p>
    <w:p w:rsidR="00A2199F" w:rsidRDefault="00AF3B58" w:rsidP="006E7507">
      <w:r>
        <w:t xml:space="preserve">Durch die Einführung des MsbG hat sich die Konfliktlage noch verstärkt. Gesetzlich normiert wurde </w:t>
      </w:r>
      <w:r w:rsidR="004F2FF7">
        <w:t xml:space="preserve">mit § 60 MsbG </w:t>
      </w:r>
      <w:r>
        <w:t xml:space="preserve">nun die </w:t>
      </w:r>
      <w:r w:rsidRPr="00711979">
        <w:rPr>
          <w:b/>
          <w:i/>
        </w:rPr>
        <w:t>Sternkommunikation</w:t>
      </w:r>
      <w:r>
        <w:t>. Des Weiteren wurden die Schutzprofile und Technische</w:t>
      </w:r>
      <w:r w:rsidR="005E241C">
        <w:t>n</w:t>
      </w:r>
      <w:r>
        <w:t xml:space="preserve"> Richtlinien</w:t>
      </w:r>
      <w:r w:rsidR="004779DA">
        <w:t>, we</w:t>
      </w:r>
      <w:r w:rsidR="004779DA">
        <w:t>l</w:t>
      </w:r>
      <w:r w:rsidR="004779DA">
        <w:t>che ausschließlich auf dieser Sichtweise beruhen,</w:t>
      </w:r>
      <w:r>
        <w:t xml:space="preserve"> </w:t>
      </w:r>
      <w:r w:rsidR="005E241C">
        <w:t xml:space="preserve">mit Einführung des </w:t>
      </w:r>
      <w:r w:rsidR="003C6576">
        <w:t xml:space="preserve">§ 20 Abs. 2 MsbG </w:t>
      </w:r>
      <w:r>
        <w:t xml:space="preserve">verbindlich gemacht. </w:t>
      </w:r>
      <w:r w:rsidR="00087C3A">
        <w:t>Die Prozesse</w:t>
      </w:r>
      <w:r w:rsidR="005E241C">
        <w:t>,</w:t>
      </w:r>
      <w:r w:rsidR="00087C3A">
        <w:t xml:space="preserve"> nach welchen die gege</w:t>
      </w:r>
      <w:r w:rsidR="00087C3A">
        <w:t>n</w:t>
      </w:r>
      <w:r w:rsidR="00087C3A">
        <w:t>wärtige Marktkommunikation abläuft,</w:t>
      </w:r>
      <w:r w:rsidR="004779DA">
        <w:t xml:space="preserve"> sind jedoch weiterhin</w:t>
      </w:r>
      <w:r w:rsidR="00087C3A">
        <w:t xml:space="preserve"> die durch die </w:t>
      </w:r>
      <w:r w:rsidR="00482344">
        <w:t xml:space="preserve">Beschlüsse der </w:t>
      </w:r>
      <w:r w:rsidR="00087C3A">
        <w:t>BNetzA festgelegten. Damit passen die Sicherungen für die technischen Komponente</w:t>
      </w:r>
      <w:r w:rsidR="003C4460">
        <w:t>n</w:t>
      </w:r>
      <w:r w:rsidR="00087C3A">
        <w:t xml:space="preserve"> und teilweise auch die technischen Komponente</w:t>
      </w:r>
      <w:r w:rsidR="005E241C">
        <w:t>n selbst</w:t>
      </w:r>
      <w:r w:rsidR="00087C3A">
        <w:t xml:space="preserve"> nicht zur Marktkommunikation. Die BNetzA wird nach eigenen Au</w:t>
      </w:r>
      <w:r w:rsidR="00087C3A">
        <w:t>s</w:t>
      </w:r>
      <w:r w:rsidR="00087C3A">
        <w:t xml:space="preserve">sagen </w:t>
      </w:r>
      <w:r w:rsidR="00100BC4">
        <w:t xml:space="preserve">eine Zeitspanne von </w:t>
      </w:r>
      <w:r w:rsidR="00087C3A">
        <w:t>drei Jahre b</w:t>
      </w:r>
      <w:r w:rsidR="003C4460">
        <w:t>enötigen</w:t>
      </w:r>
      <w:r w:rsidR="00087C3A">
        <w:t xml:space="preserve"> bis die Prozesse an die ne</w:t>
      </w:r>
      <w:r w:rsidR="00087C3A">
        <w:t>u</w:t>
      </w:r>
      <w:r w:rsidR="00087C3A">
        <w:t>en gesetzlich</w:t>
      </w:r>
      <w:r w:rsidR="003C4460">
        <w:t>en</w:t>
      </w:r>
      <w:r w:rsidR="00087C3A">
        <w:t xml:space="preserve"> Gegebenheiten angepasst sind.</w:t>
      </w:r>
      <w:r w:rsidR="00482344">
        <w:rPr>
          <w:rStyle w:val="Funotenzeichen"/>
        </w:rPr>
        <w:footnoteReference w:id="93"/>
      </w:r>
      <w:r w:rsidR="00087C3A">
        <w:t xml:space="preserve"> </w:t>
      </w:r>
    </w:p>
    <w:p w:rsidR="00087C3A" w:rsidRDefault="00087C3A" w:rsidP="002A7D97">
      <w:pPr>
        <w:pStyle w:val="berschrift6"/>
      </w:pPr>
      <w:bookmarkStart w:id="71" w:name="_Ref467595591"/>
      <w:bookmarkStart w:id="72" w:name="_Ref467595648"/>
      <w:bookmarkStart w:id="73" w:name="_Ref467595664"/>
      <w:bookmarkStart w:id="74" w:name="_Toc490827380"/>
      <w:r>
        <w:t>Bewertung</w:t>
      </w:r>
      <w:bookmarkEnd w:id="71"/>
      <w:bookmarkEnd w:id="72"/>
      <w:bookmarkEnd w:id="73"/>
      <w:bookmarkEnd w:id="74"/>
    </w:p>
    <w:p w:rsidR="00C0413A" w:rsidRDefault="00100BC4" w:rsidP="006E7507">
      <w:r>
        <w:t>Letz</w:t>
      </w:r>
      <w:r w:rsidR="00482344">
        <w:t>t</w:t>
      </w:r>
      <w:r>
        <w:t>lich hat</w:t>
      </w:r>
      <w:r w:rsidR="00412DF9">
        <w:t>te</w:t>
      </w:r>
      <w:r>
        <w:t xml:space="preserve"> der Gesetzgeber </w:t>
      </w:r>
      <w:r w:rsidR="00412DF9">
        <w:t xml:space="preserve">offensichtlich </w:t>
      </w:r>
      <w:r w:rsidR="005E241C">
        <w:t>kein vollständiges bzw.</w:t>
      </w:r>
      <w:r>
        <w:t xml:space="preserve"> ledi</w:t>
      </w:r>
      <w:r>
        <w:t>g</w:t>
      </w:r>
      <w:r>
        <w:t xml:space="preserve">lich </w:t>
      </w:r>
      <w:r w:rsidR="005E241C">
        <w:t xml:space="preserve">ein </w:t>
      </w:r>
      <w:r>
        <w:t xml:space="preserve">einseitiges Entscheidungswissen. Mängel sind hier schon bei der Generierung des erforderlichen </w:t>
      </w:r>
      <w:r w:rsidRPr="00711979">
        <w:rPr>
          <w:b/>
          <w:i/>
        </w:rPr>
        <w:t>Sachwissen</w:t>
      </w:r>
      <w:r w:rsidR="00412DF9" w:rsidRPr="00711979">
        <w:rPr>
          <w:b/>
          <w:i/>
        </w:rPr>
        <w:t>s</w:t>
      </w:r>
      <w:r>
        <w:t xml:space="preserve"> über das tatsächliche Funkti</w:t>
      </w:r>
      <w:r>
        <w:t>o</w:t>
      </w:r>
      <w:r>
        <w:t>nieren der Marktprozesse ersicht</w:t>
      </w:r>
      <w:r w:rsidR="008807CA">
        <w:t xml:space="preserve">lich. Mit der Fokussierung auf </w:t>
      </w:r>
      <w:r>
        <w:t xml:space="preserve">das Produkt des Smart Meters </w:t>
      </w:r>
      <w:r w:rsidR="00412DF9">
        <w:t>in der Gestaltung der technischen Säule</w:t>
      </w:r>
      <w:r>
        <w:t xml:space="preserve"> der datenschut</w:t>
      </w:r>
      <w:r>
        <w:t>z</w:t>
      </w:r>
      <w:r>
        <w:lastRenderedPageBreak/>
        <w:t>rechtlichen Konzeption, ha</w:t>
      </w:r>
      <w:r w:rsidR="008807CA">
        <w:t>t er sich mangels erforderlichem</w:t>
      </w:r>
      <w:r>
        <w:t xml:space="preserve"> </w:t>
      </w:r>
      <w:r w:rsidRPr="00711979">
        <w:rPr>
          <w:b/>
          <w:i/>
        </w:rPr>
        <w:t>Erfahrungs</w:t>
      </w:r>
      <w:r w:rsidR="006934BE">
        <w:rPr>
          <w:b/>
          <w:i/>
        </w:rPr>
        <w:softHyphen/>
      </w:r>
      <w:r w:rsidRPr="00711979">
        <w:rPr>
          <w:b/>
          <w:i/>
        </w:rPr>
        <w:t>wissen</w:t>
      </w:r>
      <w:r>
        <w:t xml:space="preserve"> für eine </w:t>
      </w:r>
      <w:r w:rsidR="00412DF9">
        <w:t>begrenzte</w:t>
      </w:r>
      <w:r>
        <w:t xml:space="preserve"> Sichtweise entschieden. Ausschlaggebend war diesbez</w:t>
      </w:r>
      <w:r w:rsidR="00412DF9">
        <w:t>üglich die Beauftragung des BSI</w:t>
      </w:r>
      <w:r>
        <w:t xml:space="preserve"> </w:t>
      </w:r>
      <w:r w:rsidR="00412DF9">
        <w:t>für die Anreic</w:t>
      </w:r>
      <w:r w:rsidR="008807CA">
        <w:t>herung des legislat</w:t>
      </w:r>
      <w:r w:rsidR="008807CA">
        <w:t>i</w:t>
      </w:r>
      <w:r w:rsidR="008807CA">
        <w:t xml:space="preserve">ven </w:t>
      </w:r>
      <w:r w:rsidR="00412DF9">
        <w:t xml:space="preserve">Entscheidungswissens </w:t>
      </w:r>
      <w:r>
        <w:t xml:space="preserve">als sehr </w:t>
      </w:r>
      <w:r w:rsidR="00412DF9">
        <w:t xml:space="preserve">technikzentrierte </w:t>
      </w:r>
      <w:r w:rsidR="00412DF9" w:rsidRPr="00412DF9">
        <w:t xml:space="preserve">Sichtweise </w:t>
      </w:r>
      <w:r w:rsidR="00412DF9">
        <w:t>im Rahmen einer Expertifizierungsbestrebung.</w:t>
      </w:r>
      <w:r w:rsidR="006D171B">
        <w:t xml:space="preserve"> </w:t>
      </w:r>
      <w:r>
        <w:t xml:space="preserve">Letztlich fehlte </w:t>
      </w:r>
      <w:r w:rsidR="008807CA">
        <w:t xml:space="preserve">mangels </w:t>
      </w:r>
      <w:proofErr w:type="gramStart"/>
      <w:r w:rsidR="008807CA">
        <w:t>vorliegendem</w:t>
      </w:r>
      <w:r w:rsidR="00FE1EBB">
        <w:t xml:space="preserve"> Erfahrungswissen</w:t>
      </w:r>
      <w:proofErr w:type="gramEnd"/>
      <w:r w:rsidR="00FE1EBB">
        <w:t xml:space="preserve"> </w:t>
      </w:r>
      <w:r w:rsidR="00412DF9">
        <w:t xml:space="preserve">auch </w:t>
      </w:r>
      <w:r>
        <w:t xml:space="preserve">die </w:t>
      </w:r>
      <w:r w:rsidR="00412DF9">
        <w:t xml:space="preserve">normativ verfahrensrechtliche </w:t>
      </w:r>
      <w:r w:rsidRPr="00711979">
        <w:rPr>
          <w:b/>
          <w:i/>
        </w:rPr>
        <w:t>Integration von Behördenwissen</w:t>
      </w:r>
      <w:r w:rsidR="00412DF9">
        <w:t xml:space="preserve"> der BNetzA</w:t>
      </w:r>
      <w:r>
        <w:t>. Wie oben dargestellt</w:t>
      </w:r>
      <w:r w:rsidR="008807CA">
        <w:t>,</w:t>
      </w:r>
      <w:r w:rsidR="00F55B3D">
        <w:rPr>
          <w:rStyle w:val="Funotenzeichen"/>
        </w:rPr>
        <w:footnoteReference w:id="94"/>
      </w:r>
      <w:r>
        <w:t xml:space="preserve"> muss der Gesetzgeber den informativen Wissensvorsprung von Behörden nutzen, was wie aufg</w:t>
      </w:r>
      <w:r>
        <w:t>e</w:t>
      </w:r>
      <w:r>
        <w:t>zeigt</w:t>
      </w:r>
      <w:r w:rsidR="008807CA">
        <w:t>,</w:t>
      </w:r>
      <w:r>
        <w:t xml:space="preserve"> hinsichtlich der festgelegten Prozesse der BNetzA nicht geschehen ist</w:t>
      </w:r>
      <w:r w:rsidR="002E3535">
        <w:t>.</w:t>
      </w:r>
    </w:p>
    <w:p w:rsidR="00F7511E" w:rsidRPr="005A1876" w:rsidRDefault="008A7688" w:rsidP="002A7D97">
      <w:pPr>
        <w:pStyle w:val="berschrift5"/>
        <w:ind w:hanging="624"/>
      </w:pPr>
      <w:bookmarkStart w:id="75" w:name="_Ref466036448"/>
      <w:bookmarkStart w:id="76" w:name="_Toc490827381"/>
      <w:r>
        <w:t xml:space="preserve">Auseinanderfallen legislativer und behördlicher </w:t>
      </w:r>
      <w:r w:rsidR="002A7D97">
        <w:br/>
      </w:r>
      <w:r>
        <w:t xml:space="preserve">Perspektive </w:t>
      </w:r>
      <w:r w:rsidR="002A7D97">
        <w:t>–</w:t>
      </w:r>
      <w:r>
        <w:t xml:space="preserve"> Kommunikationsparadigmen</w:t>
      </w:r>
      <w:bookmarkEnd w:id="75"/>
      <w:bookmarkEnd w:id="76"/>
    </w:p>
    <w:p w:rsidR="00B05B5A" w:rsidRPr="005A1876" w:rsidRDefault="00B05B5A" w:rsidP="002A7D97">
      <w:pPr>
        <w:pStyle w:val="berschrift6"/>
        <w:numPr>
          <w:ilvl w:val="0"/>
          <w:numId w:val="38"/>
        </w:numPr>
        <w:ind w:left="851" w:hanging="851"/>
      </w:pPr>
      <w:bookmarkStart w:id="77" w:name="_Toc490827382"/>
      <w:r w:rsidRPr="005A1876">
        <w:t>Defizit</w:t>
      </w:r>
      <w:bookmarkEnd w:id="77"/>
      <w:r w:rsidRPr="005A1876">
        <w:t xml:space="preserve"> </w:t>
      </w:r>
    </w:p>
    <w:p w:rsidR="00647886" w:rsidRPr="005A1876" w:rsidRDefault="005B56BD" w:rsidP="006E7507">
      <w:r w:rsidRPr="005A1876">
        <w:t xml:space="preserve">Weiterer </w:t>
      </w:r>
      <w:r w:rsidR="00F97500" w:rsidRPr="005A1876">
        <w:t xml:space="preserve">Anknüpfungspunkt für die Offenlegung einer Perspektive des </w:t>
      </w:r>
      <w:r w:rsidR="006934BE">
        <w:br/>
      </w:r>
      <w:r w:rsidR="00F97500" w:rsidRPr="005A1876">
        <w:t>Gesetzgebers, welche sich nicht mit den durch die Festlegungen der BNetzA verfestigten marktlichen Gegebenheiten deckt</w:t>
      </w:r>
      <w:r w:rsidR="008B3895" w:rsidRPr="005A1876">
        <w:t>,</w:t>
      </w:r>
      <w:r w:rsidR="00F97500" w:rsidRPr="005A1876">
        <w:t xml:space="preserve"> ist der Wortlaut des</w:t>
      </w:r>
      <w:r w:rsidR="003813B2">
        <w:t xml:space="preserve"> § 21</w:t>
      </w:r>
      <w:r w:rsidR="00F97500" w:rsidRPr="005A1876">
        <w:t>g Abs. 1</w:t>
      </w:r>
      <w:r w:rsidR="003C4460">
        <w:t xml:space="preserve"> EnWG </w:t>
      </w:r>
      <w:r w:rsidR="00F97500" w:rsidRPr="005A1876">
        <w:t xml:space="preserve">„aus dem Messsystem“. </w:t>
      </w:r>
      <w:r w:rsidR="00AC3943" w:rsidRPr="005A1876">
        <w:t>Die Formulierung „aus dem Mes</w:t>
      </w:r>
      <w:r w:rsidR="00AC3943" w:rsidRPr="005A1876">
        <w:t>s</w:t>
      </w:r>
      <w:r w:rsidR="00AC3943" w:rsidRPr="005A1876">
        <w:t>system“ ist aus der Gesetzeshistorie gewachsen, da der Auftrag für ein Schutzprofil für Smart Meter Gateways</w:t>
      </w:r>
      <w:r w:rsidR="00AC3943" w:rsidRPr="005A1876">
        <w:rPr>
          <w:vertAlign w:val="superscript"/>
        </w:rPr>
        <w:footnoteReference w:id="95"/>
      </w:r>
      <w:r w:rsidR="00AC3943" w:rsidRPr="005A1876">
        <w:t xml:space="preserve"> schon vor Erlass des Gesetzes vergeben wurde.</w:t>
      </w:r>
      <w:r w:rsidR="00AC3943" w:rsidRPr="005A1876">
        <w:rPr>
          <w:vertAlign w:val="superscript"/>
        </w:rPr>
        <w:t xml:space="preserve"> </w:t>
      </w:r>
      <w:r w:rsidR="00AC3943" w:rsidRPr="005A1876">
        <w:rPr>
          <w:vertAlign w:val="superscript"/>
        </w:rPr>
        <w:footnoteReference w:id="96"/>
      </w:r>
      <w:r w:rsidR="00AC3943" w:rsidRPr="005A1876">
        <w:t xml:space="preserve"> </w:t>
      </w:r>
      <w:r w:rsidR="00915C3D" w:rsidRPr="005A1876">
        <w:t>Die dort entwickelte Sichtweise ging vor dem Hinte</w:t>
      </w:r>
      <w:r w:rsidR="00915C3D" w:rsidRPr="005A1876">
        <w:t>r</w:t>
      </w:r>
      <w:r w:rsidR="00915C3D" w:rsidRPr="005A1876">
        <w:t>grund eines „</w:t>
      </w:r>
      <w:r w:rsidR="00915C3D" w:rsidRPr="005A1876">
        <w:rPr>
          <w:i/>
        </w:rPr>
        <w:t>Internet der Energie</w:t>
      </w:r>
      <w:r w:rsidR="00915C3D" w:rsidRPr="005A1876">
        <w:t>“ von einer Sternkommunikation</w:t>
      </w:r>
      <w:r w:rsidR="00915C3D" w:rsidRPr="005A1876">
        <w:rPr>
          <w:vertAlign w:val="superscript"/>
        </w:rPr>
        <w:footnoteReference w:id="97"/>
      </w:r>
      <w:r w:rsidR="00915C3D" w:rsidRPr="005A1876">
        <w:t xml:space="preserve"> aus. </w:t>
      </w:r>
      <w:r w:rsidR="00647886" w:rsidRPr="005A1876">
        <w:t>Während es sich</w:t>
      </w:r>
      <w:r w:rsidR="003C4460">
        <w:t xml:space="preserve"> </w:t>
      </w:r>
      <w:r w:rsidR="00647886" w:rsidRPr="005A1876">
        <w:t xml:space="preserve">bei den ursprünglichen von der BNetzA festgelegten Kommunikationsprozessen um solche einer Kettenkommunikation </w:t>
      </w:r>
      <w:r w:rsidR="006934BE">
        <w:br/>
      </w:r>
      <w:r w:rsidR="00647886" w:rsidRPr="005A1876">
        <w:lastRenderedPageBreak/>
        <w:t>handelte</w:t>
      </w:r>
      <w:r w:rsidR="008807CA">
        <w:t>,</w:t>
      </w:r>
      <w:r w:rsidR="00647886" w:rsidRPr="005A1876">
        <w:rPr>
          <w:vertAlign w:val="superscript"/>
        </w:rPr>
        <w:footnoteReference w:id="98"/>
      </w:r>
      <w:r w:rsidR="00647886" w:rsidRPr="005A1876">
        <w:t xml:space="preserve"> ging man bei Erstellung des Schutzpro</w:t>
      </w:r>
      <w:r w:rsidR="008807CA">
        <w:t xml:space="preserve">fils für Smart Meter </w:t>
      </w:r>
      <w:r w:rsidR="006934BE">
        <w:br/>
      </w:r>
      <w:r w:rsidR="008807CA">
        <w:t xml:space="preserve">Gateways </w:t>
      </w:r>
      <w:r w:rsidR="00647886" w:rsidRPr="005A1876">
        <w:t>von der Sichtweise einer Sternkommunikation aus.</w:t>
      </w:r>
      <w:r w:rsidR="00647886" w:rsidRPr="005A1876">
        <w:rPr>
          <w:vertAlign w:val="superscript"/>
        </w:rPr>
        <w:footnoteReference w:id="99"/>
      </w:r>
      <w:r w:rsidR="006D171B">
        <w:t xml:space="preserve"> </w:t>
      </w:r>
    </w:p>
    <w:p w:rsidR="00647886" w:rsidRPr="005A1876" w:rsidRDefault="00AC3943" w:rsidP="006E7507">
      <w:r w:rsidRPr="005A1876">
        <w:t>Charakteristisch für d</w:t>
      </w:r>
      <w:r w:rsidR="008807CA">
        <w:t>as</w:t>
      </w:r>
      <w:r w:rsidRPr="005A1876">
        <w:t xml:space="preserve"> Kommunikationsparadigma </w:t>
      </w:r>
      <w:r w:rsidR="00DC5C3B" w:rsidRPr="005A1876">
        <w:t xml:space="preserve">der </w:t>
      </w:r>
      <w:r w:rsidR="00DC5C3B" w:rsidRPr="005A1876">
        <w:rPr>
          <w:b/>
        </w:rPr>
        <w:t>Sternkommunik</w:t>
      </w:r>
      <w:r w:rsidR="00DC5C3B" w:rsidRPr="005A1876">
        <w:rPr>
          <w:b/>
        </w:rPr>
        <w:t>a</w:t>
      </w:r>
      <w:r w:rsidR="00DC5C3B" w:rsidRPr="005A1876">
        <w:rPr>
          <w:b/>
        </w:rPr>
        <w:t>tion</w:t>
      </w:r>
      <w:r w:rsidR="008807CA">
        <w:rPr>
          <w:b/>
        </w:rPr>
        <w:t xml:space="preserve"> </w:t>
      </w:r>
      <w:r w:rsidR="008807CA">
        <w:t>ist,</w:t>
      </w:r>
      <w:r w:rsidR="008807CA" w:rsidRPr="005A1876">
        <w:rPr>
          <w:vertAlign w:val="superscript"/>
        </w:rPr>
        <w:footnoteReference w:id="100"/>
      </w:r>
      <w:r w:rsidR="008807CA" w:rsidRPr="005A1876">
        <w:rPr>
          <w:b/>
        </w:rPr>
        <w:t xml:space="preserve"> </w:t>
      </w:r>
      <w:r w:rsidRPr="005A1876">
        <w:t>dass sämtliche zum Datenumgang berechtigte Stellen selbst mit dem Messsystem kommunizieren können und dürfen.</w:t>
      </w:r>
      <w:r w:rsidRPr="005A1876">
        <w:rPr>
          <w:vertAlign w:val="superscript"/>
        </w:rPr>
        <w:footnoteReference w:id="101"/>
      </w:r>
      <w:r w:rsidRPr="005A1876">
        <w:t xml:space="preserve"> Auf Basis dieses Paradigmas würde e</w:t>
      </w:r>
      <w:r w:rsidR="00487E6F" w:rsidRPr="005A1876">
        <w:t>s bei den jeweiligen Marktakteu</w:t>
      </w:r>
      <w:r w:rsidRPr="005A1876">
        <w:t xml:space="preserve">ren nur unmittelbar aus dem Messsystem stammende Messdaten geben. In </w:t>
      </w:r>
      <w:r w:rsidR="008807CA">
        <w:t xml:space="preserve">der </w:t>
      </w:r>
      <w:r w:rsidRPr="005A1876">
        <w:t xml:space="preserve">Gesamtschau des datenschutzrechtlichen Schutzkonzeptes des EnWG ist davon auszugehen, dass sich der Gesetzgeber diese Sicht bei der systematischen </w:t>
      </w:r>
      <w:r w:rsidR="008807CA">
        <w:t xml:space="preserve">Gestaltung der Vorschriften zu </w:t>
      </w:r>
      <w:proofErr w:type="gramStart"/>
      <w:r w:rsidR="008807CA">
        <w:t>e</w:t>
      </w:r>
      <w:r w:rsidRPr="005A1876">
        <w:t>igen</w:t>
      </w:r>
      <w:proofErr w:type="gramEnd"/>
      <w:r w:rsidRPr="005A1876">
        <w:t xml:space="preserve"> gemacht hat. Orientiert man sich hingegen an den derzeit geltenden Festlegungen der BNetzA zur Marktkommunikation</w:t>
      </w:r>
      <w:r w:rsidR="008807CA">
        <w:t>,</w:t>
      </w:r>
      <w:r w:rsidRPr="005A1876">
        <w:rPr>
          <w:vertAlign w:val="superscript"/>
        </w:rPr>
        <w:footnoteReference w:id="102"/>
      </w:r>
      <w:r w:rsidRPr="005A1876">
        <w:t xml:space="preserve"> so muss von einer </w:t>
      </w:r>
      <w:r w:rsidRPr="005A1876">
        <w:rPr>
          <w:b/>
        </w:rPr>
        <w:t>Kettenkommunikation</w:t>
      </w:r>
      <w:r w:rsidRPr="005A1876">
        <w:t xml:space="preserve"> ausgegangen werden.</w:t>
      </w:r>
      <w:r w:rsidR="008807CA" w:rsidRPr="008807CA">
        <w:rPr>
          <w:vertAlign w:val="superscript"/>
        </w:rPr>
        <w:t xml:space="preserve"> </w:t>
      </w:r>
      <w:r w:rsidR="008807CA" w:rsidRPr="005A1876">
        <w:rPr>
          <w:vertAlign w:val="superscript"/>
        </w:rPr>
        <w:footnoteReference w:id="103"/>
      </w:r>
      <w:r w:rsidRPr="005A1876">
        <w:t xml:space="preserve"> Nach dem Sinn und Zweck des Gesetzes kann die Auslegung der Formulierung „aus dem Messsystem“ also nur in dem Sinne erfolgen, dass auch die lediglich mittelbar aus dem Messsystem stammenden Daten bei den jeweils zum </w:t>
      </w:r>
      <w:r w:rsidR="006934BE">
        <w:br/>
      </w:r>
      <w:r w:rsidRPr="005A1876">
        <w:lastRenderedPageBreak/>
        <w:t>Datenumgang berechtigten Stellen entlang der Prozesskette erfasst sind.</w:t>
      </w:r>
      <w:r w:rsidRPr="005A1876">
        <w:rPr>
          <w:vertAlign w:val="superscript"/>
        </w:rPr>
        <w:footnoteReference w:id="104"/>
      </w:r>
      <w:r w:rsidRPr="005A1876">
        <w:t xml:space="preserve"> </w:t>
      </w:r>
      <w:r w:rsidR="00F97500" w:rsidRPr="005A1876">
        <w:t>Tatsächlich muss</w:t>
      </w:r>
      <w:r w:rsidR="00F25EAA" w:rsidRPr="005A1876">
        <w:t>te</w:t>
      </w:r>
      <w:r w:rsidR="00F97500" w:rsidRPr="005A1876">
        <w:t xml:space="preserve"> damit für die </w:t>
      </w:r>
      <w:r w:rsidR="00647886" w:rsidRPr="005A1876">
        <w:t xml:space="preserve">bestehende </w:t>
      </w:r>
      <w:r w:rsidR="00F97500" w:rsidRPr="005A1876">
        <w:t>Gesetzes</w:t>
      </w:r>
      <w:r w:rsidR="00647886" w:rsidRPr="005A1876">
        <w:t>lage</w:t>
      </w:r>
      <w:r w:rsidR="00F97500" w:rsidRPr="005A1876">
        <w:t xml:space="preserve"> eine Auslegung gefunden werden, welche mit beiden Para</w:t>
      </w:r>
      <w:r w:rsidR="008807CA">
        <w:t>digmen kompatibel</w:t>
      </w:r>
      <w:r w:rsidR="00F97500" w:rsidRPr="005A1876">
        <w:t xml:space="preserve"> ist. </w:t>
      </w:r>
    </w:p>
    <w:p w:rsidR="00B05B5A" w:rsidRPr="005A1876" w:rsidRDefault="00B05B5A" w:rsidP="002A7D97">
      <w:pPr>
        <w:pStyle w:val="berschrift6"/>
      </w:pPr>
      <w:bookmarkStart w:id="78" w:name="_Toc490827383"/>
      <w:r w:rsidRPr="005A1876">
        <w:t>Weiterentwicklung</w:t>
      </w:r>
      <w:bookmarkEnd w:id="78"/>
    </w:p>
    <w:p w:rsidR="00F97500" w:rsidRPr="005A1876" w:rsidRDefault="00F97500" w:rsidP="006E7507">
      <w:r w:rsidRPr="005A1876">
        <w:t>Nimmt man die durch die Ei</w:t>
      </w:r>
      <w:r w:rsidR="008807CA">
        <w:t xml:space="preserve">nführung des MsbG eingeführten </w:t>
      </w:r>
      <w:r w:rsidRPr="005A1876">
        <w:rPr>
          <w:b/>
        </w:rPr>
        <w:t>Neuerungen</w:t>
      </w:r>
      <w:r w:rsidRPr="005A1876">
        <w:t xml:space="preserve"> in den Blick, so hat sich </w:t>
      </w:r>
      <w:r w:rsidR="00F25EAA" w:rsidRPr="005A1876">
        <w:t xml:space="preserve">der Gesetzgeber </w:t>
      </w:r>
      <w:r w:rsidR="00915C3D" w:rsidRPr="005A1876">
        <w:t>auch nac</w:t>
      </w:r>
      <w:r w:rsidR="003813B2">
        <w:t>h Übernahme von Teilen des § 21</w:t>
      </w:r>
      <w:r w:rsidR="00915C3D" w:rsidRPr="005A1876">
        <w:t xml:space="preserve">g </w:t>
      </w:r>
      <w:r w:rsidR="00D03C13">
        <w:t xml:space="preserve">EnWG </w:t>
      </w:r>
      <w:r w:rsidR="00915C3D" w:rsidRPr="005A1876">
        <w:t xml:space="preserve">in den neuen § 50 des MsbG </w:t>
      </w:r>
      <w:r w:rsidR="00F25EAA" w:rsidRPr="005A1876">
        <w:t>durch Beibehaltung der Fo</w:t>
      </w:r>
      <w:r w:rsidR="00F25EAA" w:rsidRPr="005A1876">
        <w:t>r</w:t>
      </w:r>
      <w:r w:rsidR="00F25EAA" w:rsidRPr="005A1876">
        <w:t xml:space="preserve">mulierung </w:t>
      </w:r>
      <w:r w:rsidR="00F25EAA" w:rsidRPr="008807CA">
        <w:rPr>
          <w:i/>
        </w:rPr>
        <w:t>„aus dem Me</w:t>
      </w:r>
      <w:r w:rsidR="00647886" w:rsidRPr="008807CA">
        <w:rPr>
          <w:i/>
        </w:rPr>
        <w:t>s</w:t>
      </w:r>
      <w:r w:rsidR="00F25EAA" w:rsidRPr="008807CA">
        <w:rPr>
          <w:i/>
        </w:rPr>
        <w:t>ssyste</w:t>
      </w:r>
      <w:r w:rsidR="00D306DB" w:rsidRPr="008807CA">
        <w:rPr>
          <w:i/>
        </w:rPr>
        <w:t xml:space="preserve">m </w:t>
      </w:r>
      <w:r w:rsidR="00F25EAA" w:rsidRPr="008807CA">
        <w:rPr>
          <w:i/>
        </w:rPr>
        <w:t>[…]</w:t>
      </w:r>
      <w:r w:rsidR="008807CA" w:rsidRPr="008807CA">
        <w:rPr>
          <w:i/>
        </w:rPr>
        <w:t>“</w:t>
      </w:r>
      <w:r w:rsidR="00F25EAA" w:rsidRPr="008807CA">
        <w:rPr>
          <w:i/>
        </w:rPr>
        <w:t xml:space="preserve"> </w:t>
      </w:r>
      <w:r w:rsidR="00F25EAA" w:rsidRPr="005A1876">
        <w:t xml:space="preserve">und die Einführung der Überschrift des </w:t>
      </w:r>
      <w:r w:rsidR="00647886" w:rsidRPr="005A1876">
        <w:t xml:space="preserve">§ 60 MsbG </w:t>
      </w:r>
      <w:r w:rsidR="00647886" w:rsidRPr="008807CA">
        <w:rPr>
          <w:i/>
        </w:rPr>
        <w:t>„sternförmige Verteilung am Gateway“</w:t>
      </w:r>
      <w:r w:rsidR="00F25EAA" w:rsidRPr="005A1876">
        <w:t xml:space="preserve"> </w:t>
      </w:r>
      <w:r w:rsidR="00915C3D" w:rsidRPr="005A1876">
        <w:t xml:space="preserve">zwar </w:t>
      </w:r>
      <w:r w:rsidR="00F25EAA" w:rsidRPr="005A1876">
        <w:t xml:space="preserve">explizit für </w:t>
      </w:r>
      <w:r w:rsidR="00915C3D" w:rsidRPr="005A1876">
        <w:t>eine sternförmige Kommunikation zwischen Gateway und den jeweils sac</w:t>
      </w:r>
      <w:r w:rsidR="00915C3D" w:rsidRPr="005A1876">
        <w:t>h</w:t>
      </w:r>
      <w:r w:rsidR="00915C3D" w:rsidRPr="005A1876">
        <w:t xml:space="preserve">lich berechtigten Marktakteuren </w:t>
      </w:r>
      <w:r w:rsidR="00F25EAA" w:rsidRPr="005A1876">
        <w:t xml:space="preserve">entschieden, allerdings bleiben in der Praxis schier unüberwindbare Probleme, da bis zum Ablauf der </w:t>
      </w:r>
      <w:r w:rsidR="000539ED" w:rsidRPr="005A1876">
        <w:t xml:space="preserve">vorgegebenen </w:t>
      </w:r>
      <w:r w:rsidR="00F25EAA" w:rsidRPr="005A1876">
        <w:t>Überg</w:t>
      </w:r>
      <w:r w:rsidR="000539ED" w:rsidRPr="005A1876">
        <w:t>a</w:t>
      </w:r>
      <w:r w:rsidR="00F25EAA" w:rsidRPr="005A1876">
        <w:t xml:space="preserve">ngsfrist von Seiten der Marktakteure mit </w:t>
      </w:r>
      <w:r w:rsidR="000539ED" w:rsidRPr="005A1876">
        <w:t>den F</w:t>
      </w:r>
      <w:r w:rsidR="00F25EAA" w:rsidRPr="005A1876">
        <w:t xml:space="preserve">estlegungen </w:t>
      </w:r>
      <w:r w:rsidR="00647886" w:rsidRPr="005A1876">
        <w:t>der BNetzA, welche</w:t>
      </w:r>
      <w:r w:rsidR="00F25EAA" w:rsidRPr="005A1876">
        <w:t xml:space="preserve"> von einer Kettenkommunikation</w:t>
      </w:r>
      <w:r w:rsidR="00647886" w:rsidRPr="005A1876">
        <w:t xml:space="preserve"> </w:t>
      </w:r>
      <w:r w:rsidR="00F25EAA" w:rsidRPr="005A1876">
        <w:t>ausgehen</w:t>
      </w:r>
      <w:r w:rsidR="00647886" w:rsidRPr="005A1876">
        <w:t>,</w:t>
      </w:r>
      <w:r w:rsidR="00F25EAA" w:rsidRPr="005A1876">
        <w:t xml:space="preserve"> gearbeitet we</w:t>
      </w:r>
      <w:r w:rsidR="00F25EAA" w:rsidRPr="005A1876">
        <w:t>r</w:t>
      </w:r>
      <w:r w:rsidR="00F25EAA" w:rsidRPr="005A1876">
        <w:t>den muss</w:t>
      </w:r>
      <w:r w:rsidR="008807CA">
        <w:t>.</w:t>
      </w:r>
    </w:p>
    <w:p w:rsidR="00F25EAA" w:rsidRPr="005A1876" w:rsidRDefault="00915C3D" w:rsidP="006E7507">
      <w:r w:rsidRPr="005A1876">
        <w:t>Das Verständnis der</w:t>
      </w:r>
      <w:r w:rsidR="00F25EAA" w:rsidRPr="005A1876">
        <w:t xml:space="preserve"> Entwicklung des </w:t>
      </w:r>
      <w:r w:rsidRPr="005A1876">
        <w:t xml:space="preserve">Paradigmas der Sternkommunikation </w:t>
      </w:r>
      <w:r w:rsidR="00F25EAA" w:rsidRPr="005A1876">
        <w:t>aus dem Kettenparadigma</w:t>
      </w:r>
      <w:r w:rsidRPr="005A1876">
        <w:t xml:space="preserve"> ist aus gegebenem Anlass gerade heute wieder aktuell</w:t>
      </w:r>
      <w:r w:rsidR="00F25EAA" w:rsidRPr="005A1876">
        <w:t xml:space="preserve">, weil es bis zu einer vollständigen Umstellung eine </w:t>
      </w:r>
      <w:r w:rsidR="00F25EAA" w:rsidRPr="005A1876">
        <w:rPr>
          <w:b/>
        </w:rPr>
        <w:t>Übergangsphase</w:t>
      </w:r>
      <w:r w:rsidR="00F25EAA" w:rsidRPr="005A1876">
        <w:t xml:space="preserve"> geben wird, in welcher weiterhin Prozessvorgaben zur Marktkommunikat</w:t>
      </w:r>
      <w:r w:rsidR="00F25EAA" w:rsidRPr="005A1876">
        <w:t>i</w:t>
      </w:r>
      <w:r w:rsidR="00F25EAA" w:rsidRPr="005A1876">
        <w:t>on, welche von einer Kettenkommunikation ausgehen, für die Markttei</w:t>
      </w:r>
      <w:r w:rsidR="00F25EAA" w:rsidRPr="005A1876">
        <w:t>l</w:t>
      </w:r>
      <w:r w:rsidR="00F25EAA" w:rsidRPr="005A1876">
        <w:t>nehmer bestehen, diese aber mit den Systemen an den Endpunkten, die von einer Sternkommunikation ausgehen</w:t>
      </w:r>
      <w:r w:rsidRPr="005A1876">
        <w:t>,</w:t>
      </w:r>
      <w:r w:rsidR="00D03C13">
        <w:t xml:space="preserve"> ausführbar bleiben müssen. </w:t>
      </w:r>
      <w:r w:rsidR="00F25EAA" w:rsidRPr="005A1876">
        <w:t xml:space="preserve">Daher erhält die BNetzA mit § 75 S. 1 Nr. 1 </w:t>
      </w:r>
      <w:r w:rsidR="00D03C13">
        <w:t xml:space="preserve">MsbG </w:t>
      </w:r>
      <w:r w:rsidR="00F25EAA" w:rsidRPr="005A1876">
        <w:t>die Möglichkeit</w:t>
      </w:r>
      <w:r w:rsidR="008807CA">
        <w:t>,</w:t>
      </w:r>
      <w:r w:rsidR="00F25EAA" w:rsidRPr="005A1876">
        <w:t xml:space="preserve"> die bis zum 31. Dezember 2019 bestehende Übergangsphase technisch zu gestalten.</w:t>
      </w:r>
      <w:r w:rsidR="00F25EAA" w:rsidRPr="005A1876">
        <w:rPr>
          <w:vertAlign w:val="superscript"/>
        </w:rPr>
        <w:footnoteReference w:id="105"/>
      </w:r>
      <w:r w:rsidR="00F25EAA" w:rsidRPr="005A1876">
        <w:t xml:space="preserve"> </w:t>
      </w:r>
      <w:r w:rsidR="00F25EAA" w:rsidRPr="005A1876">
        <w:lastRenderedPageBreak/>
        <w:t>Hierzu kann die BNetzA insbesondere Festlegungen und Sonderregelungen vorsehen.</w:t>
      </w:r>
      <w:r w:rsidR="00F25EAA" w:rsidRPr="005A1876">
        <w:rPr>
          <w:vertAlign w:val="superscript"/>
        </w:rPr>
        <w:footnoteReference w:id="106"/>
      </w:r>
      <w:r w:rsidR="00F25EAA" w:rsidRPr="005A1876">
        <w:t xml:space="preserve"> </w:t>
      </w:r>
    </w:p>
    <w:p w:rsidR="00D306DB" w:rsidRPr="005A1876" w:rsidRDefault="00F25EAA" w:rsidP="006E7507">
      <w:r w:rsidRPr="005A1876">
        <w:t xml:space="preserve">Für diese Übergangsphase behält die Auslegung zum </w:t>
      </w:r>
      <w:r w:rsidR="00915C3D" w:rsidRPr="005A1876">
        <w:t xml:space="preserve">früheren </w:t>
      </w:r>
      <w:r w:rsidRPr="005A1876">
        <w:t xml:space="preserve">§ 21g </w:t>
      </w:r>
      <w:r w:rsidR="00F203A7">
        <w:t xml:space="preserve">EnWG </w:t>
      </w:r>
      <w:r w:rsidRPr="005A1876">
        <w:t xml:space="preserve">Gültigkeit, </w:t>
      </w:r>
      <w:r w:rsidR="00D03C13">
        <w:t>indem diese</w:t>
      </w:r>
      <w:r w:rsidR="00D306DB" w:rsidRPr="005A1876">
        <w:t xml:space="preserve"> </w:t>
      </w:r>
      <w:r w:rsidRPr="005A1876">
        <w:t>im Hinblick auf die besonderen Gefahren der digit</w:t>
      </w:r>
      <w:r w:rsidRPr="005A1876">
        <w:t>a</w:t>
      </w:r>
      <w:r w:rsidRPr="005A1876">
        <w:t xml:space="preserve">len Fernkommunikation </w:t>
      </w:r>
      <w:r w:rsidR="00D306DB" w:rsidRPr="005A1876">
        <w:t xml:space="preserve">weiterhin </w:t>
      </w:r>
      <w:r w:rsidRPr="005A1876">
        <w:t>so auszulegen</w:t>
      </w:r>
      <w:r w:rsidR="00D306DB" w:rsidRPr="005A1876">
        <w:t xml:space="preserve"> bleibt</w:t>
      </w:r>
      <w:r w:rsidRPr="005A1876">
        <w:t>, dass darunter all</w:t>
      </w:r>
      <w:r w:rsidR="00D03C13">
        <w:t>e</w:t>
      </w:r>
      <w:r w:rsidRPr="005A1876">
        <w:t xml:space="preserve"> Daten fallen, welche aus dem Zähler stammen und über die Schnittstelle kommuniziert werden können. </w:t>
      </w:r>
      <w:r w:rsidR="00D306DB" w:rsidRPr="005A1876">
        <w:t>Die Formulierung „aus“ ist dabei nicht im Sinne von unmittelbar dem System entspringend auszulegen. Es sind auch Daten erfasst, die ursprünglich aus dem Messsystem stammen, aber an and</w:t>
      </w:r>
      <w:r w:rsidR="00D306DB" w:rsidRPr="005A1876">
        <w:t>e</w:t>
      </w:r>
      <w:r w:rsidR="00D306DB" w:rsidRPr="005A1876">
        <w:t xml:space="preserve">re Marktakteure übermittelt werden. </w:t>
      </w:r>
      <w:r w:rsidRPr="005A1876">
        <w:t>Dabei handelt es sich nicht nur um reine Messwerte, sondern um jegliche messrelevanten Informationen, was auch signierte Werte und Datenpakete aus reinen Messwerten mit Verknü</w:t>
      </w:r>
      <w:r w:rsidRPr="005A1876">
        <w:t>p</w:t>
      </w:r>
      <w:r w:rsidRPr="005A1876">
        <w:t xml:space="preserve">fungen zur Zählpunktbezeichnung darstellen können. </w:t>
      </w:r>
      <w:r w:rsidR="00D306DB" w:rsidRPr="005A1876">
        <w:t>Nach dem Sinn und Zweck des Gesetzes sind damit ebenfalls die lediglich mittelbar aus dem Messsystem stammenden Daten bei den jeweils zum Datenumgang berec</w:t>
      </w:r>
      <w:r w:rsidR="00D306DB" w:rsidRPr="005A1876">
        <w:t>h</w:t>
      </w:r>
      <w:r w:rsidR="00D306DB" w:rsidRPr="005A1876">
        <w:t>tigten Stellen entlang der Prozesskette erfasst.</w:t>
      </w:r>
      <w:r w:rsidR="00D306DB" w:rsidRPr="005A1876">
        <w:rPr>
          <w:vertAlign w:val="superscript"/>
        </w:rPr>
        <w:footnoteReference w:id="107"/>
      </w:r>
      <w:r w:rsidR="00D306DB" w:rsidRPr="005A1876">
        <w:t xml:space="preserve"> </w:t>
      </w:r>
    </w:p>
    <w:p w:rsidR="00D306DB" w:rsidRPr="005A1876" w:rsidRDefault="00D306DB" w:rsidP="006E7507">
      <w:r w:rsidRPr="005A1876">
        <w:t>Mit § 60 MsbG hat sich der Gesetzgeber nun grundsätzlich und ausdrücklich für eine sternförmige Marktkommunikation der relevanten Daten entschi</w:t>
      </w:r>
      <w:r w:rsidRPr="005A1876">
        <w:t>e</w:t>
      </w:r>
      <w:r w:rsidRPr="005A1876">
        <w:t>den, indem er den Begriff schon in die Überschrift aufgenommen hat.</w:t>
      </w:r>
      <w:r w:rsidR="00CD5589">
        <w:rPr>
          <w:rStyle w:val="Funotenzeichen"/>
        </w:rPr>
        <w:footnoteReference w:id="108"/>
      </w:r>
    </w:p>
    <w:p w:rsidR="00B05B5A" w:rsidRPr="005A1876" w:rsidRDefault="00B05B5A" w:rsidP="002A7D97">
      <w:pPr>
        <w:pStyle w:val="berschrift6"/>
      </w:pPr>
      <w:bookmarkStart w:id="79" w:name="_Ref467595687"/>
      <w:bookmarkStart w:id="80" w:name="_Toc490827384"/>
      <w:r w:rsidRPr="005A1876">
        <w:lastRenderedPageBreak/>
        <w:t>Bewertung</w:t>
      </w:r>
      <w:bookmarkEnd w:id="79"/>
      <w:bookmarkEnd w:id="80"/>
    </w:p>
    <w:p w:rsidR="004F29FD" w:rsidRPr="005A1876" w:rsidRDefault="00FE5FFD" w:rsidP="006E7507">
      <w:pPr>
        <w:rPr>
          <w:rFonts w:eastAsia="Times New Roman"/>
          <w:szCs w:val="24"/>
        </w:rPr>
      </w:pPr>
      <w:r w:rsidRPr="005A1876">
        <w:t>Letztlich handelt es sich bei der Annahme eines „Internet der Energie“ um eine Problematik im Rahmen</w:t>
      </w:r>
      <w:r w:rsidR="001628DF">
        <w:t xml:space="preserve"> </w:t>
      </w:r>
      <w:r w:rsidRPr="005A1876">
        <w:t xml:space="preserve">des </w:t>
      </w:r>
      <w:r w:rsidR="001628DF" w:rsidRPr="00711979">
        <w:rPr>
          <w:b/>
          <w:i/>
        </w:rPr>
        <w:t xml:space="preserve">behördlichen </w:t>
      </w:r>
      <w:r w:rsidRPr="00711979">
        <w:rPr>
          <w:b/>
          <w:i/>
        </w:rPr>
        <w:t>Erfahrungswissens</w:t>
      </w:r>
      <w:r w:rsidRPr="005A1876">
        <w:t>. Ma</w:t>
      </w:r>
      <w:r w:rsidRPr="005A1876">
        <w:t>n</w:t>
      </w:r>
      <w:r w:rsidRPr="005A1876">
        <w:t xml:space="preserve">gels bestehender Erfahrung hinsichtlich eines Smart Grid wurden Anleihen im Kontext des offenen Internet gesucht, obwohl eine Vergleichbarkeit nicht gegeben </w:t>
      </w:r>
      <w:r w:rsidR="001628DF">
        <w:t>ist</w:t>
      </w:r>
      <w:r w:rsidRPr="005A1876">
        <w:t>. Auch diesbezüglich kann eine einseitige Expertifizierung, wie es durch die Beauftragung des BSI vor der gesetzlichen Legitimationsgrun</w:t>
      </w:r>
      <w:r w:rsidRPr="005A1876">
        <w:t>d</w:t>
      </w:r>
      <w:r w:rsidRPr="005A1876">
        <w:t>lage geschehen ist</w:t>
      </w:r>
      <w:r w:rsidR="008807CA">
        <w:t>,</w:t>
      </w:r>
      <w:r w:rsidRPr="005A1876">
        <w:t xml:space="preserve"> nicht ausreichen. Auch hier hätte es </w:t>
      </w:r>
      <w:r w:rsidRPr="00711979">
        <w:rPr>
          <w:b/>
          <w:i/>
        </w:rPr>
        <w:t>Kooperationen</w:t>
      </w:r>
      <w:r w:rsidRPr="005A1876">
        <w:t xml:space="preserve"> b</w:t>
      </w:r>
      <w:r w:rsidRPr="005A1876">
        <w:t>e</w:t>
      </w:r>
      <w:r w:rsidRPr="005A1876">
        <w:t xml:space="preserve">durft, welche </w:t>
      </w:r>
      <w:r w:rsidR="00DA77A3" w:rsidRPr="005A1876">
        <w:t>die Einbeziehung bestehenden</w:t>
      </w:r>
      <w:r w:rsidRPr="005A1876">
        <w:t xml:space="preserve"> Behördenwissen</w:t>
      </w:r>
      <w:r w:rsidR="00CD5589">
        <w:t>s</w:t>
      </w:r>
      <w:r w:rsidR="00DA77A3" w:rsidRPr="005A1876">
        <w:t xml:space="preserve"> </w:t>
      </w:r>
      <w:r w:rsidR="008B3895" w:rsidRPr="005A1876">
        <w:t xml:space="preserve">zumindest </w:t>
      </w:r>
      <w:r w:rsidR="008807CA">
        <w:t>in Erwägung ziehen</w:t>
      </w:r>
      <w:r w:rsidR="00DA77A3" w:rsidRPr="005A1876">
        <w:t xml:space="preserve">. </w:t>
      </w:r>
      <w:r w:rsidR="00CD5589">
        <w:t>Mit der Grundannahme eines „I</w:t>
      </w:r>
      <w:r w:rsidR="008B3895" w:rsidRPr="005A1876">
        <w:t>nternet der Energie“ lag schon nicht das notwendige Erfah</w:t>
      </w:r>
      <w:r w:rsidR="008807CA">
        <w:t xml:space="preserve">rungswissen für die technischen, </w:t>
      </w:r>
      <w:r w:rsidR="008B3895" w:rsidRPr="005A1876">
        <w:t>date</w:t>
      </w:r>
      <w:r w:rsidR="008B3895" w:rsidRPr="005A1876">
        <w:t>n</w:t>
      </w:r>
      <w:r w:rsidR="008B3895" w:rsidRPr="005A1876">
        <w:t xml:space="preserve">schutzrechtlichen Konzepte vor. </w:t>
      </w:r>
      <w:r w:rsidR="00D306DB" w:rsidRPr="005A1876">
        <w:t xml:space="preserve">Im Ergebnis </w:t>
      </w:r>
      <w:r w:rsidR="00633533" w:rsidRPr="005A1876">
        <w:rPr>
          <w:rFonts w:eastAsia="Times New Roman"/>
          <w:szCs w:val="24"/>
        </w:rPr>
        <w:t>lag durch die Nichtbeachtung der bestehenden Prozessfestlegungen der BNetzA beim Gesetzgeber ma</w:t>
      </w:r>
      <w:r w:rsidR="00633533" w:rsidRPr="005A1876">
        <w:rPr>
          <w:rFonts w:eastAsia="Times New Roman"/>
          <w:szCs w:val="24"/>
        </w:rPr>
        <w:t>n</w:t>
      </w:r>
      <w:r w:rsidR="00633533" w:rsidRPr="005A1876">
        <w:rPr>
          <w:rFonts w:eastAsia="Times New Roman"/>
          <w:szCs w:val="24"/>
        </w:rPr>
        <w:t xml:space="preserve">gelndes marktliches Wissen über tatsächliche Gegebenheiten vor. </w:t>
      </w:r>
    </w:p>
    <w:p w:rsidR="00AB708A" w:rsidRDefault="004B46ED" w:rsidP="002A7D97">
      <w:pPr>
        <w:pStyle w:val="berschrift4"/>
      </w:pPr>
      <w:bookmarkStart w:id="81" w:name="_Toc490827385"/>
      <w:r>
        <w:t>Überleitung</w:t>
      </w:r>
      <w:bookmarkEnd w:id="81"/>
      <w:r>
        <w:t xml:space="preserve"> </w:t>
      </w:r>
    </w:p>
    <w:p w:rsidR="00DF78ED" w:rsidRDefault="00DF78ED" w:rsidP="006E7507">
      <w:r>
        <w:t xml:space="preserve">Anhand der </w:t>
      </w:r>
      <w:r w:rsidR="00121D3F">
        <w:t>2011 geschaffenen gesetzlichen Regelungen zum Datenschutz im Smart Grid schien ein Rollout aufgrund der unzureichenden gesetzlichen Rahmenbedingungen nicht realisie</w:t>
      </w:r>
      <w:r w:rsidR="008D3C6D">
        <w:t>rbar. Dies war überwiegend der m</w:t>
      </w:r>
      <w:r w:rsidR="00121D3F">
        <w:t>angel</w:t>
      </w:r>
      <w:r w:rsidR="00121D3F">
        <w:t>n</w:t>
      </w:r>
      <w:r w:rsidR="00121D3F">
        <w:t>den Kenntnis der tatsächlichen Gegebenheiten des Energiemarktes zuz</w:t>
      </w:r>
      <w:r w:rsidR="00121D3F">
        <w:t>u</w:t>
      </w:r>
      <w:r w:rsidR="00121D3F">
        <w:t xml:space="preserve">schreiben </w:t>
      </w:r>
      <w:r>
        <w:t>und der daraus resultierenden Perspektive, welche sich defizitär auf die legislative Umsetzung der bereichsspez</w:t>
      </w:r>
      <w:r w:rsidR="008807CA">
        <w:t>ifischen Regelungen auswir</w:t>
      </w:r>
      <w:r w:rsidR="008807CA">
        <w:t>k</w:t>
      </w:r>
      <w:r w:rsidR="008807CA">
        <w:t xml:space="preserve">te. </w:t>
      </w:r>
      <w:r>
        <w:t xml:space="preserve">Zudem </w:t>
      </w:r>
      <w:r w:rsidR="00121D3F">
        <w:t>wurden</w:t>
      </w:r>
      <w:r>
        <w:t xml:space="preserve"> Prioritäten</w:t>
      </w:r>
      <w:r w:rsidR="00121D3F">
        <w:t xml:space="preserve"> </w:t>
      </w:r>
      <w:r>
        <w:t xml:space="preserve">bestimmter </w:t>
      </w:r>
      <w:r w:rsidR="00121D3F">
        <w:t xml:space="preserve">Regulierungsziele </w:t>
      </w:r>
      <w:r w:rsidR="001628DF">
        <w:t xml:space="preserve">nicht richtig </w:t>
      </w:r>
      <w:r w:rsidR="00121D3F">
        <w:t>eingeschätzt und fanden damit nur unzureichend Eingang in</w:t>
      </w:r>
      <w:r w:rsidR="00AF679B">
        <w:t xml:space="preserve"> die Gesetze</w:t>
      </w:r>
      <w:r w:rsidR="00AF679B">
        <w:t>s</w:t>
      </w:r>
      <w:r w:rsidR="00AF679B">
        <w:t>materie. Diese blie</w:t>
      </w:r>
      <w:r w:rsidR="00121D3F">
        <w:t>b</w:t>
      </w:r>
      <w:r>
        <w:t xml:space="preserve"> </w:t>
      </w:r>
      <w:r w:rsidR="00121D3F">
        <w:t xml:space="preserve">für </w:t>
      </w:r>
      <w:r w:rsidR="00AF679B">
        <w:t>die Praxis nicht folgenlos</w:t>
      </w:r>
      <w:r>
        <w:t xml:space="preserve">. Für die </w:t>
      </w:r>
      <w:r w:rsidR="00121D3F">
        <w:t xml:space="preserve">Marktteilnehmer </w:t>
      </w:r>
      <w:r>
        <w:t>bestand</w:t>
      </w:r>
      <w:r w:rsidR="0068277B">
        <w:t xml:space="preserve">en </w:t>
      </w:r>
      <w:r w:rsidR="008807CA">
        <w:t xml:space="preserve">dadurch </w:t>
      </w:r>
      <w:r>
        <w:t xml:space="preserve">erhebliche Unsicherheiten, </w:t>
      </w:r>
      <w:r w:rsidR="001628DF">
        <w:t>einerseits zur</w:t>
      </w:r>
      <w:r w:rsidR="00121D3F">
        <w:t xml:space="preserve"> </w:t>
      </w:r>
      <w:proofErr w:type="gramStart"/>
      <w:r w:rsidR="00121D3F">
        <w:t>technische</w:t>
      </w:r>
      <w:proofErr w:type="gramEnd"/>
      <w:r w:rsidR="00121D3F">
        <w:t xml:space="preserve"> Entwicklung der Smart Meter und weiterer </w:t>
      </w:r>
      <w:r w:rsidR="001628DF">
        <w:t>Komponenten</w:t>
      </w:r>
      <w:r w:rsidR="00121D3F">
        <w:t xml:space="preserve">, </w:t>
      </w:r>
      <w:r w:rsidR="001628DF">
        <w:t>andererseits</w:t>
      </w:r>
      <w:r w:rsidR="00121D3F">
        <w:t xml:space="preserve"> hi</w:t>
      </w:r>
      <w:r w:rsidR="00121D3F">
        <w:t>n</w:t>
      </w:r>
      <w:r w:rsidR="00121D3F">
        <w:t xml:space="preserve">sichtlich der Umsetzung von notwendigen </w:t>
      </w:r>
      <w:r w:rsidR="0068277B">
        <w:t xml:space="preserve">neuen </w:t>
      </w:r>
      <w:r w:rsidR="00121D3F">
        <w:t>Marktprozessen</w:t>
      </w:r>
      <w:r w:rsidR="0068277B">
        <w:t xml:space="preserve">. Dies war einerseits Folge der unzulänglichen gesetzlichen Vorgaben, andererseits bedingt durch ein </w:t>
      </w:r>
      <w:r w:rsidR="00121D3F">
        <w:t xml:space="preserve">Auseinanderfallen der </w:t>
      </w:r>
      <w:r w:rsidR="0068277B">
        <w:t xml:space="preserve">bestehenden </w:t>
      </w:r>
      <w:r w:rsidR="00121D3F">
        <w:t>Prozessvorgaben der BNetzA und der gesetzlichen Regelungen</w:t>
      </w:r>
      <w:r w:rsidR="0068277B">
        <w:t xml:space="preserve">, welche nicht ineinandergriffen </w:t>
      </w:r>
      <w:r w:rsidR="0068277B">
        <w:lastRenderedPageBreak/>
        <w:t>und somit die Durchführung der Marktprozesse für die Marktteilnehmer wesentlich erschwerte</w:t>
      </w:r>
      <w:r w:rsidR="001628DF">
        <w:t xml:space="preserve"> und erschwert</w:t>
      </w:r>
      <w:r w:rsidR="0068277B">
        <w:t>.</w:t>
      </w:r>
      <w:r w:rsidR="006D171B">
        <w:t xml:space="preserve"> </w:t>
      </w:r>
    </w:p>
    <w:p w:rsidR="00AB34C0" w:rsidRPr="00AB34C0" w:rsidRDefault="0068277B" w:rsidP="006E7507">
      <w:r>
        <w:t xml:space="preserve">Weitere </w:t>
      </w:r>
      <w:r w:rsidR="00121D3F">
        <w:t xml:space="preserve">Konsequenzen hatten die </w:t>
      </w:r>
      <w:r>
        <w:t xml:space="preserve">unzureichenden </w:t>
      </w:r>
      <w:r w:rsidR="00121D3F">
        <w:t xml:space="preserve">materiellen Regelungen und die hierzu eingenommenen Perspektiven jedoch auch in wesentlichem Umfang für die Arbeit der Regulierungsbehörde. </w:t>
      </w:r>
      <w:r w:rsidR="001628DF">
        <w:t>Hierauf soll im Folgenden eingegangen werden.</w:t>
      </w:r>
    </w:p>
    <w:p w:rsidR="008B083C" w:rsidRPr="004B2295" w:rsidRDefault="008B083C" w:rsidP="006E7507"/>
    <w:p w:rsidR="00BF077D" w:rsidRPr="004B2295" w:rsidRDefault="00BF077D" w:rsidP="006E7507"/>
    <w:p w:rsidR="001D4DF8" w:rsidRDefault="001D4DF8" w:rsidP="00F91B0D">
      <w:pPr>
        <w:pStyle w:val="berschrift1Teil"/>
        <w:sectPr w:rsidR="001D4DF8" w:rsidSect="00AC12B6">
          <w:footerReference w:type="first" r:id="rId20"/>
          <w:footnotePr>
            <w:numRestart w:val="eachSect"/>
          </w:footnotePr>
          <w:type w:val="oddPage"/>
          <w:pgSz w:w="11906" w:h="16838" w:code="9"/>
          <w:pgMar w:top="2041" w:right="1304" w:bottom="2041" w:left="1985" w:header="1134" w:footer="1134" w:gutter="0"/>
          <w:cols w:space="708"/>
          <w:titlePg/>
          <w:docGrid w:linePitch="360"/>
        </w:sectPr>
      </w:pPr>
      <w:bookmarkStart w:id="82" w:name="_Ref467510464"/>
      <w:bookmarkStart w:id="83" w:name="_Toc490827492"/>
    </w:p>
    <w:p w:rsidR="00BF077D" w:rsidRPr="004B2295" w:rsidRDefault="00F91B0D" w:rsidP="00F91B0D">
      <w:pPr>
        <w:pStyle w:val="berschrift1Teil"/>
      </w:pPr>
      <w:bookmarkStart w:id="84" w:name="_Toc491418254"/>
      <w:r>
        <w:lastRenderedPageBreak/>
        <w:t xml:space="preserve">Teil </w:t>
      </w:r>
      <w:r w:rsidR="004F4C7B">
        <w:t>3</w:t>
      </w:r>
      <w:r w:rsidR="004248C3">
        <w:t xml:space="preserve">: </w:t>
      </w:r>
      <w:r w:rsidR="00BF077D" w:rsidRPr="004B2295">
        <w:t>Instrumentelle</w:t>
      </w:r>
      <w:r w:rsidR="004248C3">
        <w:t> </w:t>
      </w:r>
      <w:r w:rsidR="00BF077D" w:rsidRPr="004B2295">
        <w:t>Ableitungen</w:t>
      </w:r>
      <w:r w:rsidR="004248C3">
        <w:t> </w:t>
      </w:r>
      <w:r w:rsidR="00BF077D" w:rsidRPr="004B2295">
        <w:t>für ein lernfähiges Verfahren</w:t>
      </w:r>
      <w:bookmarkEnd w:id="82"/>
      <w:bookmarkEnd w:id="83"/>
      <w:bookmarkEnd w:id="84"/>
    </w:p>
    <w:p w:rsidR="001D4DF8" w:rsidRDefault="001D4DF8" w:rsidP="00F91B0D">
      <w:pPr>
        <w:pStyle w:val="berschrift1"/>
        <w:sectPr w:rsidR="001D4DF8" w:rsidSect="00AC12B6">
          <w:footerReference w:type="first" r:id="rId21"/>
          <w:footnotePr>
            <w:numRestart w:val="eachSect"/>
          </w:footnotePr>
          <w:type w:val="oddPage"/>
          <w:pgSz w:w="11906" w:h="16838" w:code="9"/>
          <w:pgMar w:top="2041" w:right="1304" w:bottom="2041" w:left="1985" w:header="1134" w:footer="1134" w:gutter="0"/>
          <w:cols w:space="708"/>
          <w:titlePg/>
          <w:docGrid w:linePitch="360"/>
        </w:sectPr>
      </w:pPr>
      <w:bookmarkStart w:id="85" w:name="_Toc490827493"/>
    </w:p>
    <w:p w:rsidR="00BF077D" w:rsidRPr="004B2295" w:rsidRDefault="00BF077D" w:rsidP="004F4C7B">
      <w:pPr>
        <w:pStyle w:val="berschrift1"/>
        <w:numPr>
          <w:ilvl w:val="0"/>
          <w:numId w:val="79"/>
        </w:numPr>
        <w:ind w:left="851" w:hanging="851"/>
      </w:pPr>
      <w:bookmarkStart w:id="86" w:name="_Ref467501918"/>
      <w:bookmarkStart w:id="87" w:name="_Toc490827494"/>
      <w:bookmarkStart w:id="88" w:name="_Toc491418255"/>
      <w:bookmarkEnd w:id="85"/>
      <w:r w:rsidRPr="004B2295">
        <w:lastRenderedPageBreak/>
        <w:t>Instrumente zur Gestaltung von Lernfähigkeit im Verfahren</w:t>
      </w:r>
      <w:bookmarkEnd w:id="86"/>
      <w:bookmarkEnd w:id="87"/>
      <w:bookmarkEnd w:id="88"/>
    </w:p>
    <w:p w:rsidR="00BF077D" w:rsidRPr="004B2295" w:rsidRDefault="00BF077D" w:rsidP="00F91B0D">
      <w:pPr>
        <w:pStyle w:val="berschrift2"/>
        <w:numPr>
          <w:ilvl w:val="0"/>
          <w:numId w:val="68"/>
        </w:numPr>
        <w:ind w:left="851" w:hanging="624"/>
      </w:pPr>
      <w:bookmarkStart w:id="89" w:name="_Toc490827495"/>
      <w:bookmarkStart w:id="90" w:name="_Toc491418256"/>
      <w:r w:rsidRPr="004B2295">
        <w:t>Speicher und grundlegende symbolische Strukturen für lernfähige Verfahren</w:t>
      </w:r>
      <w:bookmarkEnd w:id="89"/>
      <w:bookmarkEnd w:id="90"/>
    </w:p>
    <w:p w:rsidR="00BF077D" w:rsidRPr="004B2295" w:rsidRDefault="00BF077D" w:rsidP="006E7507">
      <w:r w:rsidRPr="004B2295">
        <w:t xml:space="preserve">Im Hinblick auf die </w:t>
      </w:r>
      <w:r w:rsidRPr="004B2295">
        <w:rPr>
          <w:b/>
          <w:i/>
        </w:rPr>
        <w:t>Lernfähigkeit</w:t>
      </w:r>
      <w:r w:rsidRPr="004B2295">
        <w:t xml:space="preserve"> und notwendige</w:t>
      </w:r>
      <w:r w:rsidRPr="004B2295">
        <w:rPr>
          <w:b/>
          <w:i/>
        </w:rPr>
        <w:t xml:space="preserve"> Reversibilität</w:t>
      </w:r>
      <w:r w:rsidRPr="004B2295">
        <w:t xml:space="preserve"> im Ve</w:t>
      </w:r>
      <w:r w:rsidRPr="004B2295">
        <w:t>r</w:t>
      </w:r>
      <w:r w:rsidRPr="004B2295">
        <w:t>fahren ist hinsichtlich der erarbeiteten Herausforderungen an das Sach- und Normwissen aus behördlichen und privaten Wissensbeständen, ein im ab</w:t>
      </w:r>
      <w:r w:rsidRPr="004B2295">
        <w:t>s</w:t>
      </w:r>
      <w:r w:rsidRPr="004B2295">
        <w:t>trakten Wissensmodell deutlich sichtbares Element bislang noch nicht b</w:t>
      </w:r>
      <w:r w:rsidRPr="004B2295">
        <w:t>e</w:t>
      </w:r>
      <w:r w:rsidRPr="004B2295">
        <w:t>rücksich</w:t>
      </w:r>
      <w:r w:rsidR="00B807CA">
        <w:t>tigt. Denn</w:t>
      </w:r>
      <w:r w:rsidR="001C1584">
        <w:t xml:space="preserve"> </w:t>
      </w:r>
      <w:r w:rsidRPr="004B2295">
        <w:t>„</w:t>
      </w:r>
      <w:r w:rsidRPr="004B2295">
        <w:rPr>
          <w:i/>
        </w:rPr>
        <w:t>aus Information wird Wissen durch Einbindung in e</w:t>
      </w:r>
      <w:r w:rsidRPr="004B2295">
        <w:rPr>
          <w:i/>
        </w:rPr>
        <w:t>i</w:t>
      </w:r>
      <w:r w:rsidRPr="004B2295">
        <w:rPr>
          <w:i/>
        </w:rPr>
        <w:t xml:space="preserve">nem zweiten Kontext von Relevanzen. Dieser zweite Kontext besteht nicht, wie der erste, aus Relevanzkriterien, sondern aus bedeutsamen Mustern, die das System in einem speziell dafür </w:t>
      </w:r>
      <w:r w:rsidRPr="004B2295">
        <w:rPr>
          <w:b/>
          <w:i/>
        </w:rPr>
        <w:t>erforderlichen Gedächtnis speichert und verfügbar</w:t>
      </w:r>
      <w:r w:rsidRPr="004B2295">
        <w:rPr>
          <w:i/>
        </w:rPr>
        <w:t xml:space="preserve"> hält</w:t>
      </w:r>
      <w:r w:rsidRPr="004B2295">
        <w:t>.“</w:t>
      </w:r>
      <w:r w:rsidRPr="004B2295">
        <w:rPr>
          <w:vertAlign w:val="superscript"/>
        </w:rPr>
        <w:footnoteReference w:id="109"/>
      </w:r>
      <w:r w:rsidRPr="004B2295">
        <w:t xml:space="preserve"> Der Aspekt der Persistierung von gewonnenem de</w:t>
      </w:r>
      <w:r w:rsidR="001C1584">
        <w:t>zentr</w:t>
      </w:r>
      <w:r w:rsidR="001C1584">
        <w:t>a</w:t>
      </w:r>
      <w:r w:rsidR="001C1584">
        <w:t xml:space="preserve">len Sach- und Normwissen </w:t>
      </w:r>
      <w:r w:rsidRPr="004B2295">
        <w:t>wird im bestehenden Festlegungsverfahren ni</w:t>
      </w:r>
      <w:r w:rsidR="00B807CA">
        <w:t>cht förmlich adressiert, obwohl</w:t>
      </w:r>
      <w:r w:rsidRPr="004B2295">
        <w:t xml:space="preserve"> gerade die </w:t>
      </w:r>
      <w:r w:rsidRPr="004B2295">
        <w:rPr>
          <w:b/>
          <w:i/>
        </w:rPr>
        <w:t>Methodik der Wis</w:t>
      </w:r>
      <w:r w:rsidR="00662937">
        <w:rPr>
          <w:b/>
          <w:i/>
        </w:rPr>
        <w:t xml:space="preserve">sensgenerierung und </w:t>
      </w:r>
      <w:r w:rsidR="001C1584">
        <w:rPr>
          <w:b/>
          <w:i/>
        </w:rPr>
        <w:t>Wissenspeicherung</w:t>
      </w:r>
      <w:r w:rsidRPr="004B2295">
        <w:t xml:space="preserve"> im Verfah</w:t>
      </w:r>
      <w:r w:rsidR="00B807CA">
        <w:t>ren ein</w:t>
      </w:r>
      <w:r w:rsidR="00662937">
        <w:t>en entscheidenden</w:t>
      </w:r>
      <w:r w:rsidR="00B807CA">
        <w:t xml:space="preserve"> Moment</w:t>
      </w:r>
      <w:r w:rsidRPr="004B2295">
        <w:t xml:space="preserve"> im Rahmen von reversiblen Lern</w:t>
      </w:r>
      <w:r w:rsidR="00B807CA">
        <w:t>prozessen darstellt</w:t>
      </w:r>
      <w:r w:rsidRPr="004B2295">
        <w:t>.</w:t>
      </w:r>
    </w:p>
    <w:p w:rsidR="00BF077D" w:rsidRPr="004B2295" w:rsidRDefault="00A7612A" w:rsidP="00F91B0D">
      <w:pPr>
        <w:pStyle w:val="Abbildung"/>
      </w:pPr>
      <w:r>
        <w:lastRenderedPageBreak/>
        <w:drawing>
          <wp:inline distT="0" distB="0" distL="0" distR="0" wp14:anchorId="57252E51" wp14:editId="486EC27A">
            <wp:extent cx="5463251" cy="3103572"/>
            <wp:effectExtent l="0" t="0" r="4445"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5505473" cy="3127557"/>
                    </a:xfrm>
                    <a:prstGeom prst="rect">
                      <a:avLst/>
                    </a:prstGeom>
                    <a:noFill/>
                  </pic:spPr>
                </pic:pic>
              </a:graphicData>
            </a:graphic>
          </wp:inline>
        </w:drawing>
      </w:r>
    </w:p>
    <w:p w:rsidR="00BF077D" w:rsidRPr="00A74219" w:rsidRDefault="00BF077D" w:rsidP="00F91B0D">
      <w:pPr>
        <w:pStyle w:val="Bildunterschrift"/>
        <w:rPr>
          <w:b/>
        </w:rPr>
      </w:pPr>
      <w:bookmarkStart w:id="91" w:name="_Ref467507898"/>
      <w:r w:rsidRPr="00A74219">
        <w:rPr>
          <w:b/>
        </w:rPr>
        <w:t xml:space="preserve">Abbildung </w:t>
      </w:r>
      <w:r w:rsidRPr="00A74219">
        <w:rPr>
          <w:b/>
        </w:rPr>
        <w:fldChar w:fldCharType="begin"/>
      </w:r>
      <w:r w:rsidRPr="00A74219">
        <w:rPr>
          <w:b/>
        </w:rPr>
        <w:instrText xml:space="preserve"> SEQ Abbildung \* ARABIC </w:instrText>
      </w:r>
      <w:r w:rsidRPr="00A74219">
        <w:rPr>
          <w:b/>
        </w:rPr>
        <w:fldChar w:fldCharType="separate"/>
      </w:r>
      <w:r w:rsidR="00391ED7">
        <w:rPr>
          <w:b/>
          <w:noProof/>
        </w:rPr>
        <w:t>1</w:t>
      </w:r>
      <w:r w:rsidRPr="00A74219">
        <w:rPr>
          <w:b/>
          <w:noProof/>
        </w:rPr>
        <w:fldChar w:fldCharType="end"/>
      </w:r>
      <w:r w:rsidRPr="00A74219">
        <w:rPr>
          <w:b/>
        </w:rPr>
        <w:t xml:space="preserve">: </w:t>
      </w:r>
      <w:bookmarkStart w:id="92" w:name="_Ref467507890"/>
      <w:r w:rsidRPr="00A74219">
        <w:t>Allgemeines Modell von Wissen und Entscheidung</w:t>
      </w:r>
      <w:r w:rsidRPr="00A74219">
        <w:rPr>
          <w:vertAlign w:val="superscript"/>
        </w:rPr>
        <w:footnoteReference w:id="110"/>
      </w:r>
      <w:bookmarkEnd w:id="91"/>
      <w:bookmarkEnd w:id="92"/>
    </w:p>
    <w:p w:rsidR="00BF077D" w:rsidRPr="004B2295" w:rsidRDefault="00BF077D" w:rsidP="006E7507">
      <w:r w:rsidRPr="004B2295">
        <w:t>In abstrakter Betracht</w:t>
      </w:r>
      <w:r w:rsidR="001C1584">
        <w:t>ung des Entscheidungsm</w:t>
      </w:r>
      <w:r w:rsidRPr="004B2295">
        <w:t>odells von Aamodt/Nygård ist neben der Feststellung, dass das gewonnen</w:t>
      </w:r>
      <w:r w:rsidR="00662937">
        <w:t>e</w:t>
      </w:r>
      <w:r w:rsidRPr="004B2295">
        <w:t xml:space="preserve"> Sach- und Normwissen, wie auch die Ergebnisse von Abwägungsentscheidungen in dem mehrdimensi</w:t>
      </w:r>
      <w:r w:rsidRPr="004B2295">
        <w:t>o</w:t>
      </w:r>
      <w:r w:rsidRPr="004B2295">
        <w:t>nalen Optionenraum grundsätzlich gespeichert und verfügbar gehalten we</w:t>
      </w:r>
      <w:r w:rsidRPr="004B2295">
        <w:t>r</w:t>
      </w:r>
      <w:r w:rsidRPr="004B2295">
        <w:t>den muss, noch ein</w:t>
      </w:r>
      <w:r w:rsidR="001C1584">
        <w:t>e weitere Dimension ersichtlich:</w:t>
      </w:r>
      <w:r w:rsidRPr="004B2295">
        <w:t xml:space="preserve"> Die Frage nach der effektiven </w:t>
      </w:r>
      <w:r w:rsidRPr="004B2295">
        <w:rPr>
          <w:b/>
          <w:i/>
        </w:rPr>
        <w:t>Form der zu gestaltenden Wissensbasis</w:t>
      </w:r>
      <w:r w:rsidRPr="004B2295">
        <w:t xml:space="preserve">. </w:t>
      </w:r>
    </w:p>
    <w:p w:rsidR="00BF077D" w:rsidRPr="004B2295" w:rsidRDefault="00BF077D" w:rsidP="006E7507">
      <w:r w:rsidRPr="004B2295">
        <w:t xml:space="preserve">Grundsätzlich sind nach </w:t>
      </w:r>
      <w:r w:rsidR="001C1584">
        <w:t xml:space="preserve">diesem </w:t>
      </w:r>
      <w:r w:rsidRPr="004B2295">
        <w:t xml:space="preserve">Modell die notwendigen Informationen zur Generierung von Entscheidungswissen in Daten verkörpert, die wiederum durch eine geeignete, </w:t>
      </w:r>
      <w:r w:rsidRPr="004B2295">
        <w:rPr>
          <w:b/>
          <w:i/>
        </w:rPr>
        <w:t>interpretationsfähige Symbolik</w:t>
      </w:r>
      <w:r w:rsidRPr="004B2295">
        <w:t xml:space="preserve"> repräsentiert werden. Die Entscheidung, als Ergebnis eines zweckgerichteten Lernprozesses</w:t>
      </w:r>
      <w:r w:rsidR="001C1584">
        <w:t>,</w:t>
      </w:r>
      <w:r w:rsidRPr="004B2295">
        <w:t xml:space="preserve"> kann sich nun erneu</w:t>
      </w:r>
      <w:r w:rsidR="00662937">
        <w:t>t in diesen Symboliken zeigen</w:t>
      </w:r>
      <w:r w:rsidRPr="004B2295">
        <w:t xml:space="preserve">. </w:t>
      </w:r>
    </w:p>
    <w:p w:rsidR="00BF077D" w:rsidRPr="004B2295" w:rsidRDefault="00BF077D" w:rsidP="006E7507">
      <w:r w:rsidRPr="004B2295">
        <w:lastRenderedPageBreak/>
        <w:t xml:space="preserve">Im Recht sind diese Symboliken in der Regel </w:t>
      </w:r>
      <w:r w:rsidRPr="004B2295">
        <w:rPr>
          <w:b/>
          <w:i/>
        </w:rPr>
        <w:t>textuelle Repräsentationen</w:t>
      </w:r>
      <w:r w:rsidRPr="004B2295">
        <w:t xml:space="preserve"> in Gesetzestexten, historischen Materialien und behördlichen Entscheidungen. Die Interpretation geschieht in der Regel in Form des klassischen jurist</w:t>
      </w:r>
      <w:r w:rsidRPr="004B2295">
        <w:t>i</w:t>
      </w:r>
      <w:r w:rsidRPr="004B2295">
        <w:t xml:space="preserve">schen </w:t>
      </w:r>
      <w:r w:rsidRPr="004B2295">
        <w:rPr>
          <w:b/>
          <w:i/>
        </w:rPr>
        <w:t>Gedankenexperimentes</w:t>
      </w:r>
      <w:r w:rsidRPr="004B2295">
        <w:t xml:space="preserve"> durch die zur Entscheidung berufenen Akte</w:t>
      </w:r>
      <w:r w:rsidRPr="004B2295">
        <w:t>u</w:t>
      </w:r>
      <w:r w:rsidRPr="004B2295">
        <w:t>re. Es stellt sich im Hinblick auf die Komplexität der entscheidungsreleva</w:t>
      </w:r>
      <w:r w:rsidRPr="004B2295">
        <w:t>n</w:t>
      </w:r>
      <w:r w:rsidRPr="004B2295">
        <w:t xml:space="preserve">ten Dimensionen des notwendigen verteilten Sach- wie Normwissens und </w:t>
      </w:r>
      <w:r w:rsidR="001C1584">
        <w:t xml:space="preserve">auf </w:t>
      </w:r>
      <w:r w:rsidRPr="004B2295">
        <w:t>die beschr</w:t>
      </w:r>
      <w:r w:rsidR="00662937">
        <w:t xml:space="preserve">iebenen Defizite die Frage, ob </w:t>
      </w:r>
      <w:r w:rsidRPr="004B2295">
        <w:t>die r</w:t>
      </w:r>
      <w:r w:rsidR="00662937">
        <w:t>ein textuelle Repräsentat</w:t>
      </w:r>
      <w:r w:rsidR="00662937">
        <w:t>i</w:t>
      </w:r>
      <w:r w:rsidR="00662937">
        <w:t>on sowie</w:t>
      </w:r>
      <w:r w:rsidRPr="004B2295">
        <w:t xml:space="preserve"> das klassische Gedankenexperiment in derartigen Verfahren</w:t>
      </w:r>
      <w:r w:rsidR="00662937">
        <w:t>, we</w:t>
      </w:r>
      <w:r w:rsidR="00662937">
        <w:t>l</w:t>
      </w:r>
      <w:r w:rsidR="00662937">
        <w:t>che</w:t>
      </w:r>
      <w:r w:rsidRPr="004B2295">
        <w:t xml:space="preserve"> auf Erkenntnisse zu komplexen informationstechnischen Sachverhalten und den technischen Ausgleich von z.T. grundrechtlichen Wertungen zu funktionalen und nichtfunktonalen Aspekten von vielfältigen Messdate</w:t>
      </w:r>
      <w:r w:rsidRPr="004B2295">
        <w:t>n</w:t>
      </w:r>
      <w:r w:rsidRPr="004B2295">
        <w:t>verwendungen in diesen infrastrukturellen Architekturen gerichtet sind</w:t>
      </w:r>
      <w:r w:rsidR="001C1584">
        <w:t>,</w:t>
      </w:r>
      <w:r w:rsidRPr="004B2295">
        <w:t xml:space="preserve"> die </w:t>
      </w:r>
      <w:r w:rsidRPr="004B2295">
        <w:rPr>
          <w:b/>
          <w:i/>
        </w:rPr>
        <w:t>geeigneten symbolischen Strukturen</w:t>
      </w:r>
      <w:r w:rsidRPr="004B2295">
        <w:t xml:space="preserve"> für ein</w:t>
      </w:r>
      <w:r w:rsidR="001C1584">
        <w:t>en</w:t>
      </w:r>
      <w:r w:rsidRPr="004B2295">
        <w:t xml:space="preserve"> effektive</w:t>
      </w:r>
      <w:r w:rsidR="001C1584">
        <w:t>n</w:t>
      </w:r>
      <w:r w:rsidRPr="004B2295">
        <w:t xml:space="preserve"> und reversible</w:t>
      </w:r>
      <w:r w:rsidR="001C1584">
        <w:t>n</w:t>
      </w:r>
      <w:r w:rsidR="00662937">
        <w:t xml:space="preserve"> Lernprozess</w:t>
      </w:r>
      <w:r w:rsidRPr="004B2295">
        <w:t xml:space="preserve"> darstellen. Naheliegender erscheint auf den ersten Blick</w:t>
      </w:r>
      <w:r w:rsidR="001C1584">
        <w:t>,</w:t>
      </w:r>
      <w:r w:rsidRPr="004B2295">
        <w:t xml:space="preserve"> jede</w:t>
      </w:r>
      <w:r w:rsidRPr="004B2295">
        <w:t>n</w:t>
      </w:r>
      <w:r w:rsidRPr="004B2295">
        <w:t xml:space="preserve">falls für Teilaspekte der sachlichen und normativen Wissensgenerierung die Wahl einer </w:t>
      </w:r>
      <w:r w:rsidRPr="004B2295">
        <w:rPr>
          <w:b/>
          <w:i/>
        </w:rPr>
        <w:t>bildhaften Symbolik</w:t>
      </w:r>
      <w:r w:rsidRPr="004B2295">
        <w:t xml:space="preserve"> zur Schaffung und Persis</w:t>
      </w:r>
      <w:r w:rsidR="001C1584">
        <w:t>tierung des En</w:t>
      </w:r>
      <w:r w:rsidR="001C1584">
        <w:t>t</w:t>
      </w:r>
      <w:r w:rsidR="001C1584">
        <w:t>scheidungswissens</w:t>
      </w:r>
      <w:r w:rsidRPr="004B2295">
        <w:t xml:space="preserve"> zu sein.</w:t>
      </w:r>
    </w:p>
    <w:p w:rsidR="00BF077D" w:rsidRPr="004B2295" w:rsidRDefault="00662937" w:rsidP="006E7507">
      <w:r>
        <w:t xml:space="preserve">In </w:t>
      </w:r>
      <w:r w:rsidR="00BF077D" w:rsidRPr="004B2295">
        <w:t xml:space="preserve">der Literatur ist anerkannt, dass </w:t>
      </w:r>
      <w:r>
        <w:t xml:space="preserve">die </w:t>
      </w:r>
      <w:r w:rsidR="00BF077D" w:rsidRPr="004B2295">
        <w:t>Rechtsordnung häufig Spielräume im Umgang mit dem Ste</w:t>
      </w:r>
      <w:r>
        <w:t>uerungsfaktor Recht belässt. S</w:t>
      </w:r>
      <w:r w:rsidR="00BF077D" w:rsidRPr="004B2295">
        <w:t>ie eröffnet zwar einen rechtlich definierten Korridor rechtmäßigen Verhaltens, belässt aber rege</w:t>
      </w:r>
      <w:r w:rsidR="00BF077D" w:rsidRPr="004B2295">
        <w:t>l</w:t>
      </w:r>
      <w:r w:rsidR="00BF077D" w:rsidRPr="004B2295">
        <w:t xml:space="preserve">haft Möglichkeiten </w:t>
      </w:r>
      <w:r w:rsidRPr="004B2295">
        <w:t>für</w:t>
      </w:r>
      <w:r w:rsidR="00BF077D" w:rsidRPr="004B2295">
        <w:t xml:space="preserve"> die Wahl von Optionen in diesem Korridor.</w:t>
      </w:r>
      <w:r>
        <w:t xml:space="preserve"> Das Recht kann in diesem </w:t>
      </w:r>
      <w:r w:rsidR="00BF077D" w:rsidRPr="004B2295">
        <w:t>Optionenraum die Zielerreichung durch Vorgabe von Zielen oder Konzepten stimulieren und den Vorgang der Optionenwahl durch Verfahrensregeln disziplinieren. Die Beachtung von Recht und Gesetz ist insofern eine notwendige, aber keineswegs stets hinreichende Bedingung zur Bewältigung des rechtsnormativ zur Lösung aufgegebenen Problems. Soweit im Recht Spielräume verbleiben, ist es den Rechtsanwendern aufg</w:t>
      </w:r>
      <w:r w:rsidR="00BF077D" w:rsidRPr="004B2295">
        <w:t>e</w:t>
      </w:r>
      <w:r w:rsidR="00BF077D" w:rsidRPr="004B2295">
        <w:t>geben, im Interesse der Problembewältigung zusätzliche Faktoren zu akt</w:t>
      </w:r>
      <w:r w:rsidR="00BF077D" w:rsidRPr="004B2295">
        <w:t>i</w:t>
      </w:r>
      <w:r w:rsidR="00BF077D" w:rsidRPr="004B2295">
        <w:t>vieren, darunter auch Wissen.</w:t>
      </w:r>
      <w:r w:rsidR="00BF077D" w:rsidRPr="004B2295">
        <w:rPr>
          <w:vertAlign w:val="superscript"/>
        </w:rPr>
        <w:footnoteReference w:id="111"/>
      </w:r>
      <w:r w:rsidR="00BF077D" w:rsidRPr="004B2295">
        <w:t xml:space="preserve"> Der Begriff der Regulierung soll es grun</w:t>
      </w:r>
      <w:r w:rsidR="00BF077D" w:rsidRPr="004B2295">
        <w:t>d</w:t>
      </w:r>
      <w:r w:rsidR="00BF077D" w:rsidRPr="004B2295">
        <w:lastRenderedPageBreak/>
        <w:t>sätzlich ermöglichen</w:t>
      </w:r>
      <w:r w:rsidR="001C1584">
        <w:t>,</w:t>
      </w:r>
      <w:r w:rsidR="00BF077D" w:rsidRPr="004B2295">
        <w:t xml:space="preserve"> Muster staatlicher Intervention und gesellschaftlicher Wirkungen herauszuarbeiten und das staatliche Handeln durch eine Analyse einem strategischen Gebrauch zugänglich zu machen.</w:t>
      </w:r>
      <w:r w:rsidR="00BF077D" w:rsidRPr="004B2295">
        <w:rPr>
          <w:vertAlign w:val="superscript"/>
        </w:rPr>
        <w:footnoteReference w:id="112"/>
      </w:r>
      <w:r w:rsidR="001C1584">
        <w:t xml:space="preserve"> </w:t>
      </w:r>
      <w:r w:rsidR="00BF077D" w:rsidRPr="004B2295">
        <w:t xml:space="preserve">Er kennzeichnet somit die theoretisch reflektierte </w:t>
      </w:r>
      <w:r w:rsidR="00BF077D" w:rsidRPr="004B2295">
        <w:rPr>
          <w:b/>
          <w:i/>
        </w:rPr>
        <w:t>Typisierung von Instrumenten</w:t>
      </w:r>
      <w:r w:rsidR="00BF077D" w:rsidRPr="004B2295">
        <w:t xml:space="preserve"> und diese </w:t>
      </w:r>
      <w:r w:rsidR="00BF077D" w:rsidRPr="004B2295">
        <w:rPr>
          <w:b/>
          <w:i/>
        </w:rPr>
        <w:t>bündelnde Regimes</w:t>
      </w:r>
      <w:r w:rsidR="00BF077D" w:rsidRPr="004B2295">
        <w:t xml:space="preserve"> und will deren absichtsvollen Einsatz unter Berücks</w:t>
      </w:r>
      <w:r w:rsidR="001C1584">
        <w:t>ic</w:t>
      </w:r>
      <w:r w:rsidR="001C1584">
        <w:t>h</w:t>
      </w:r>
      <w:r w:rsidR="001C1584">
        <w:t xml:space="preserve">tigung der Entwicklungspfade </w:t>
      </w:r>
      <w:r w:rsidR="00BF077D" w:rsidRPr="004B2295">
        <w:t xml:space="preserve">und funktionalen Erfordernissen befördern. Er ist in dieser Perspektive </w:t>
      </w:r>
      <w:r w:rsidR="00BF077D" w:rsidRPr="004B2295">
        <w:rPr>
          <w:b/>
          <w:i/>
        </w:rPr>
        <w:t>interdisziplinär und symbolischen Mustern zugänglich</w:t>
      </w:r>
      <w:r w:rsidR="00BF077D" w:rsidRPr="004B2295">
        <w:rPr>
          <w:b/>
        </w:rPr>
        <w:t>.</w:t>
      </w:r>
    </w:p>
    <w:p w:rsidR="00BF077D" w:rsidRPr="004B2295" w:rsidRDefault="00BF077D" w:rsidP="006E7507">
      <w:r w:rsidRPr="004B2295">
        <w:t xml:space="preserve">Recht als soziale Erscheinung </w:t>
      </w:r>
      <w:r w:rsidR="00662937">
        <w:t>lässt sich gleichsam</w:t>
      </w:r>
      <w:r w:rsidRPr="004B2295">
        <w:t xml:space="preserve"> auch als Kommu</w:t>
      </w:r>
      <w:r w:rsidR="001C1584">
        <w:t>nikat</w:t>
      </w:r>
      <w:r w:rsidR="001C1584">
        <w:t>i</w:t>
      </w:r>
      <w:r w:rsidR="001C1584">
        <w:t xml:space="preserve">onssystem beschreiben - </w:t>
      </w:r>
      <w:r w:rsidRPr="004B2295">
        <w:t>ein System, in welchem Informationen produziert, gespeichert, verarbeitet und ausgetauscht werden.</w:t>
      </w:r>
      <w:r w:rsidRPr="004B2295">
        <w:rPr>
          <w:vertAlign w:val="superscript"/>
        </w:rPr>
        <w:footnoteReference w:id="113"/>
      </w:r>
      <w:r w:rsidRPr="004B2295">
        <w:t xml:space="preserve"> Die Übermittlung der Informationen geschieht durch ein physikalisches Medium, welches sich erheblich auf die in der Gesellschaft eingenommene Perspektive auswirkt. Sei es Papier oder Bildschirm, das Medium verursacht den Wandel und zwar dann nicht nur im Medium</w:t>
      </w:r>
      <w:r w:rsidR="001C1584">
        <w:t>,</w:t>
      </w:r>
      <w:r w:rsidRPr="004B2295">
        <w:t xml:space="preserve"> sondern in der Art der Informationen des so beschriebenen Kommunikationssystems Recht.</w:t>
      </w:r>
      <w:r w:rsidRPr="004B2295">
        <w:rPr>
          <w:vertAlign w:val="superscript"/>
        </w:rPr>
        <w:footnoteReference w:id="114"/>
      </w:r>
      <w:r w:rsidRPr="004B2295">
        <w:t xml:space="preserve"> </w:t>
      </w:r>
      <w:r w:rsidR="00653F03">
        <w:t xml:space="preserve">Folgender Satz umschreibt die Folgen historische Entwicklung in zutreffender Form: </w:t>
      </w:r>
      <w:r w:rsidRPr="004B2295">
        <w:t>„</w:t>
      </w:r>
      <w:r w:rsidRPr="004B2295">
        <w:rPr>
          <w:i/>
        </w:rPr>
        <w:t>Während Stein oder Tontafeln räumliche Bindung und Dauerhaftigkeit zulassen und somit Tradition und Hierarchie begünstigten, ermöglichte das leicht transportable Papier die Ausdehnung der Herrschaft in den Raum, während Breitenwi</w:t>
      </w:r>
      <w:r w:rsidRPr="004B2295">
        <w:rPr>
          <w:i/>
        </w:rPr>
        <w:t>r</w:t>
      </w:r>
      <w:r w:rsidRPr="004B2295">
        <w:rPr>
          <w:i/>
        </w:rPr>
        <w:t>kung dann der (Buch)Druck durch preiswerte Vervielfältigung erzielte und die Elektrizität letztendlich durch ihre Geschwindigkeit den sozialen Wandel brachte</w:t>
      </w:r>
      <w:r w:rsidRPr="004B2295">
        <w:t>.“</w:t>
      </w:r>
      <w:r w:rsidRPr="004B2295">
        <w:rPr>
          <w:vertAlign w:val="superscript"/>
        </w:rPr>
        <w:footnoteReference w:id="115"/>
      </w:r>
      <w:r w:rsidRPr="004B2295">
        <w:t xml:space="preserve"> Es werden </w:t>
      </w:r>
      <w:r w:rsidR="00653F03">
        <w:t xml:space="preserve">somit </w:t>
      </w:r>
      <w:r w:rsidRPr="004B2295">
        <w:t>Bilder vom Recht und Bilder im Recht also innerhalb des Rechtssystems unterschieden.</w:t>
      </w:r>
      <w:r w:rsidRPr="004B2295">
        <w:rPr>
          <w:vertAlign w:val="superscript"/>
        </w:rPr>
        <w:footnoteReference w:id="116"/>
      </w:r>
      <w:r w:rsidRPr="004B2295">
        <w:t xml:space="preserve"> Bilder im Recht sind selten. Zwar besteht der forensische Gebrauch visueller Kommunikationsmittel, allerdings hat der Kernbereich der juristischen Fachkommunikation Bilder </w:t>
      </w:r>
      <w:r w:rsidRPr="004B2295">
        <w:lastRenderedPageBreak/>
        <w:t>bisher</w:t>
      </w:r>
      <w:r w:rsidR="00653F03">
        <w:t xml:space="preserve"> gemieden</w:t>
      </w:r>
      <w:r w:rsidRPr="004B2295">
        <w:t xml:space="preserve">. Zwar ist die herkömmliche Rechtstheorie noch auf den sprachwissenschaftlichen Ansatz fixiert, das Recht wird sich </w:t>
      </w:r>
      <w:r w:rsidR="00653F03">
        <w:t xml:space="preserve">jedoch </w:t>
      </w:r>
      <w:r w:rsidRPr="004B2295">
        <w:t>in Z</w:t>
      </w:r>
      <w:r w:rsidRPr="004B2295">
        <w:t>u</w:t>
      </w:r>
      <w:r w:rsidRPr="004B2295">
        <w:t>kunft der Bilder nicht erwehren können, denn zwischenzeitlich kommun</w:t>
      </w:r>
      <w:r w:rsidRPr="004B2295">
        <w:t>i</w:t>
      </w:r>
      <w:r w:rsidRPr="004B2295">
        <w:t xml:space="preserve">ziert alle Welt mit Bildern. Insbesondere </w:t>
      </w:r>
      <w:r w:rsidRPr="004B2295">
        <w:rPr>
          <w:b/>
          <w:i/>
        </w:rPr>
        <w:t>logische Bilder</w:t>
      </w:r>
      <w:r w:rsidRPr="004B2295">
        <w:t xml:space="preserve"> können als Unte</w:t>
      </w:r>
      <w:r w:rsidRPr="004B2295">
        <w:t>r</w:t>
      </w:r>
      <w:r w:rsidRPr="004B2295">
        <w:t>stützung schwieriger Fragestellungen oder</w:t>
      </w:r>
      <w:r w:rsidR="001C1584">
        <w:t>,</w:t>
      </w:r>
      <w:r w:rsidRPr="004B2295">
        <w:t xml:space="preserve"> schwierige Prozesse und Entscheidungen erleichtern. Wissensbestände lassen sich verbal vergleich</w:t>
      </w:r>
      <w:r w:rsidRPr="004B2295">
        <w:t>s</w:t>
      </w:r>
      <w:r w:rsidRPr="004B2295">
        <w:t>weise zuverlässiger und mit weniger Streuung übertragen (als Textkomm</w:t>
      </w:r>
      <w:r w:rsidRPr="004B2295">
        <w:t>u</w:t>
      </w:r>
      <w:r w:rsidRPr="004B2295">
        <w:t>nikation).</w:t>
      </w:r>
      <w:r w:rsidR="00653F03" w:rsidRPr="004B2295">
        <w:rPr>
          <w:vertAlign w:val="superscript"/>
        </w:rPr>
        <w:footnoteReference w:id="117"/>
      </w:r>
      <w:r w:rsidRPr="004B2295">
        <w:t xml:space="preserve"> Bilder helfen dem Gedächtnis, denn für diese ist die Gedächtni</w:t>
      </w:r>
      <w:r w:rsidRPr="004B2295">
        <w:t>s</w:t>
      </w:r>
      <w:r w:rsidRPr="004B2295">
        <w:t>leistung erheblich höher als für abstrakte oder konkrete Begriffe.</w:t>
      </w:r>
      <w:r w:rsidRPr="004B2295">
        <w:rPr>
          <w:vertAlign w:val="superscript"/>
        </w:rPr>
        <w:footnoteReference w:id="118"/>
      </w:r>
      <w:r w:rsidRPr="004B2295">
        <w:t xml:space="preserve"> Bilder prägen und mobilisieren zudem </w:t>
      </w:r>
      <w:r w:rsidRPr="004B2295">
        <w:rPr>
          <w:b/>
          <w:i/>
        </w:rPr>
        <w:t>Schemawissen</w:t>
      </w:r>
      <w:r w:rsidRPr="004B2295">
        <w:t>, indem sie typische Abläufe zeigen.</w:t>
      </w:r>
      <w:r w:rsidRPr="004B2295">
        <w:rPr>
          <w:vertAlign w:val="superscript"/>
        </w:rPr>
        <w:footnoteReference w:id="119"/>
      </w:r>
    </w:p>
    <w:p w:rsidR="00BF077D" w:rsidRPr="004B2295" w:rsidRDefault="001C1584" w:rsidP="006E7507">
      <w:r>
        <w:t>Daher</w:t>
      </w:r>
      <w:r w:rsidR="00653F03">
        <w:t xml:space="preserve"> stellt sich die Frage</w:t>
      </w:r>
      <w:r w:rsidR="00BF077D" w:rsidRPr="004B2295">
        <w:t>, ob ein Festlegungsverfahren, das auf Kommun</w:t>
      </w:r>
      <w:r w:rsidR="00BF077D" w:rsidRPr="004B2295">
        <w:t>i</w:t>
      </w:r>
      <w:r w:rsidR="00BF077D" w:rsidRPr="004B2295">
        <w:t>kation in dezentralen hochverteilten Wi</w:t>
      </w:r>
      <w:r>
        <w:t xml:space="preserve">ssensstrukturen angewiesen ist </w:t>
      </w:r>
      <w:r w:rsidR="00BF077D" w:rsidRPr="004B2295">
        <w:t>und die technische Konzeption kritischer, komplexer IKT Systeminfrastrukturen im Grenzbereich staatlicher Daseinsfürsorge sowohl h</w:t>
      </w:r>
      <w:r w:rsidR="00653F03">
        <w:t>insichtlich des Sac</w:t>
      </w:r>
      <w:r w:rsidR="00653F03">
        <w:t>h</w:t>
      </w:r>
      <w:r w:rsidR="00653F03">
        <w:t>wissens, als</w:t>
      </w:r>
      <w:r w:rsidR="00BF077D" w:rsidRPr="004B2295">
        <w:t xml:space="preserve"> auch für die normative Entscheidung zum Interessenausgleich</w:t>
      </w:r>
      <w:r>
        <w:t>,</w:t>
      </w:r>
      <w:r w:rsidR="00BF077D" w:rsidRPr="004B2295">
        <w:t xml:space="preserve"> nicht eher Strukturmerkmale klassischer </w:t>
      </w:r>
      <w:r w:rsidR="00BF077D" w:rsidRPr="004B2295">
        <w:rPr>
          <w:b/>
          <w:i/>
        </w:rPr>
        <w:t>raumbedeutsamer Infrastruktu</w:t>
      </w:r>
      <w:r w:rsidR="00BF077D" w:rsidRPr="004B2295">
        <w:rPr>
          <w:b/>
          <w:i/>
        </w:rPr>
        <w:t>r</w:t>
      </w:r>
      <w:r w:rsidR="00BF077D" w:rsidRPr="004B2295">
        <w:rPr>
          <w:b/>
          <w:i/>
        </w:rPr>
        <w:t>vorhaben</w:t>
      </w:r>
      <w:r w:rsidR="00BF077D" w:rsidRPr="004B2295">
        <w:t xml:space="preserve"> aufweisen und die dort verwendeten </w:t>
      </w:r>
      <w:r w:rsidR="00BF077D" w:rsidRPr="004B2295">
        <w:rPr>
          <w:b/>
          <w:i/>
        </w:rPr>
        <w:t>symbolischen Strukturen des</w:t>
      </w:r>
      <w:r w:rsidR="00BF077D" w:rsidRPr="004B2295">
        <w:t xml:space="preserve"> </w:t>
      </w:r>
      <w:r w:rsidR="00BF077D" w:rsidRPr="004B2295">
        <w:rPr>
          <w:b/>
          <w:i/>
        </w:rPr>
        <w:t>bildhaften Plans</w:t>
      </w:r>
      <w:r w:rsidR="00BF077D" w:rsidRPr="004B2295">
        <w:t xml:space="preserve">, als Repräsentation in der Vorbereitung und Gegenstand von behördlichen Entscheidungen, </w:t>
      </w:r>
      <w:r w:rsidR="00653F03">
        <w:t xml:space="preserve">zumindest </w:t>
      </w:r>
      <w:r w:rsidR="00BF077D" w:rsidRPr="004B2295">
        <w:t>aus wissenstheoretischer Sicht angemessen wäre</w:t>
      </w:r>
      <w:r>
        <w:t>.</w:t>
      </w:r>
      <w:r w:rsidR="00BF077D" w:rsidRPr="004B2295">
        <w:t xml:space="preserve"> </w:t>
      </w:r>
    </w:p>
    <w:p w:rsidR="00BF077D" w:rsidRPr="004B2295" w:rsidRDefault="00BF077D" w:rsidP="00F91B0D">
      <w:pPr>
        <w:pStyle w:val="berschrift2"/>
        <w:ind w:left="851" w:hanging="511"/>
      </w:pPr>
      <w:bookmarkStart w:id="93" w:name="_Ref467506911"/>
      <w:bookmarkStart w:id="94" w:name="_Toc490827496"/>
      <w:bookmarkStart w:id="95" w:name="_Toc491418257"/>
      <w:r w:rsidRPr="004B2295">
        <w:t>Instrumente zur Lernfähigkeit und Stabilisierung von Wissen im raumbedeutsamen Planungsrecht</w:t>
      </w:r>
      <w:bookmarkEnd w:id="93"/>
      <w:bookmarkEnd w:id="94"/>
      <w:bookmarkEnd w:id="95"/>
    </w:p>
    <w:p w:rsidR="00BF077D" w:rsidRPr="004B2295" w:rsidRDefault="00A903EA" w:rsidP="006E7507">
      <w:r>
        <w:t xml:space="preserve">Die </w:t>
      </w:r>
      <w:r w:rsidR="00BF077D" w:rsidRPr="004B2295">
        <w:t>Nähe</w:t>
      </w:r>
      <w:r>
        <w:t xml:space="preserve"> </w:t>
      </w:r>
      <w:r w:rsidR="00BF077D" w:rsidRPr="004B2295">
        <w:t xml:space="preserve">zwischen Sachmaterien des raumbedeutsamen Planungsrechts und den komplexen wechselwirkenden Architekturen und Infrastrukturen der </w:t>
      </w:r>
      <w:r w:rsidR="00BF077D" w:rsidRPr="004B2295">
        <w:lastRenderedPageBreak/>
        <w:t xml:space="preserve">Energiewirtschaft </w:t>
      </w:r>
      <w:r>
        <w:t>wurde bisher schon angedeutet.</w:t>
      </w:r>
      <w:r>
        <w:rPr>
          <w:rStyle w:val="Funotenzeichen"/>
        </w:rPr>
        <w:footnoteReference w:id="120"/>
      </w:r>
      <w:r>
        <w:t xml:space="preserve"> </w:t>
      </w:r>
      <w:r w:rsidR="00BF077D" w:rsidRPr="004B2295">
        <w:t>Während es im Pl</w:t>
      </w:r>
      <w:r w:rsidR="00BF077D" w:rsidRPr="004B2295">
        <w:t>a</w:t>
      </w:r>
      <w:r w:rsidR="00BF077D" w:rsidRPr="004B2295">
        <w:t>nungsrecht zunächst um eine bildhafte Beschreibung von natürlichen U</w:t>
      </w:r>
      <w:r w:rsidR="00BF077D" w:rsidRPr="004B2295">
        <w:t>m</w:t>
      </w:r>
      <w:r w:rsidR="00BF077D" w:rsidRPr="004B2295">
        <w:t xml:space="preserve">weltbedingungen geht, korrespondiert dies in der Energiewirtschaft mit der Topologie der Netze und Infrastrukturen </w:t>
      </w:r>
      <w:r w:rsidR="00653F03">
        <w:t xml:space="preserve">sowie </w:t>
      </w:r>
      <w:r w:rsidR="00BF077D" w:rsidRPr="004B2295">
        <w:t>der darüber</w:t>
      </w:r>
      <w:r w:rsidR="00653F03">
        <w:t xml:space="preserve"> </w:t>
      </w:r>
      <w:r w:rsidR="00BF077D" w:rsidRPr="004B2295">
        <w:t xml:space="preserve">liegenden </w:t>
      </w:r>
      <w:r w:rsidR="009235F2">
        <w:br/>
      </w:r>
      <w:r w:rsidR="00BF077D" w:rsidRPr="004B2295">
        <w:t>Prozess- und Rollenmodellen des Smart</w:t>
      </w:r>
      <w:r w:rsidR="00C32826">
        <w:t xml:space="preserve"> </w:t>
      </w:r>
      <w:r w:rsidR="00BF077D" w:rsidRPr="004B2295">
        <w:t>Grid - mithin eines „</w:t>
      </w:r>
      <w:r w:rsidR="00BF077D" w:rsidRPr="004B2295">
        <w:rPr>
          <w:b/>
          <w:i/>
        </w:rPr>
        <w:t>virtuellen Raumes</w:t>
      </w:r>
      <w:r w:rsidR="00BF077D" w:rsidRPr="004B2295">
        <w:t xml:space="preserve">“. </w:t>
      </w:r>
    </w:p>
    <w:p w:rsidR="00BF077D" w:rsidRPr="004B2295" w:rsidRDefault="00653F03" w:rsidP="006E7507">
      <w:r>
        <w:t xml:space="preserve">Während </w:t>
      </w:r>
      <w:r w:rsidR="00BF077D" w:rsidRPr="004B2295">
        <w:t xml:space="preserve">das raumbedeutsame Planungsrecht durch Stufung der Granularität von bildlichen Darstellungen den unterschiedlichen Ebenen der relevanten Einflussgrößen von der Raumplanung bis zur gemeindlichen Bauleitplanung einen symbolischen Ausdruck verleiht, korrespondierte dies </w:t>
      </w:r>
      <w:r w:rsidR="00FF35E0">
        <w:t xml:space="preserve">mit </w:t>
      </w:r>
      <w:r w:rsidR="00BF077D" w:rsidRPr="004B2295">
        <w:t xml:space="preserve">der </w:t>
      </w:r>
      <w:r w:rsidR="00BF077D" w:rsidRPr="004B2295">
        <w:rPr>
          <w:b/>
          <w:i/>
        </w:rPr>
        <w:t>Gr</w:t>
      </w:r>
      <w:r w:rsidR="00BF077D" w:rsidRPr="004B2295">
        <w:rPr>
          <w:b/>
          <w:i/>
        </w:rPr>
        <w:t>a</w:t>
      </w:r>
      <w:r w:rsidR="00BF077D" w:rsidRPr="004B2295">
        <w:rPr>
          <w:b/>
          <w:i/>
        </w:rPr>
        <w:t>nularität notwendiger Sichten</w:t>
      </w:r>
      <w:r w:rsidR="00FF35E0">
        <w:rPr>
          <w:b/>
          <w:i/>
        </w:rPr>
        <w:t>,</w:t>
      </w:r>
      <w:r w:rsidR="00FF35E0">
        <w:t xml:space="preserve"> </w:t>
      </w:r>
      <w:r w:rsidR="00BF077D" w:rsidRPr="004B2295">
        <w:t>von groben Rollenmodellen der Mark</w:t>
      </w:r>
      <w:r w:rsidR="00BF077D" w:rsidRPr="004B2295">
        <w:t>t</w:t>
      </w:r>
      <w:r w:rsidR="00BF077D" w:rsidRPr="004B2295">
        <w:t xml:space="preserve">kommunikation bis </w:t>
      </w:r>
      <w:r w:rsidR="00FF35E0">
        <w:t xml:space="preserve">hin </w:t>
      </w:r>
      <w:r w:rsidR="00BF077D" w:rsidRPr="004B2295">
        <w:t>zur notwendigen Sicht auf die konkreten IKT-Infrastrukturen in den Backends der Marktakteure z.B. zu den technischen Detailmechanismen und nichtfunktionalen Nebenläufigkeiten für die An</w:t>
      </w:r>
      <w:r w:rsidR="00BF077D" w:rsidRPr="004B2295">
        <w:t>o</w:t>
      </w:r>
      <w:r w:rsidR="00BF077D" w:rsidRPr="004B2295">
        <w:t>nymisierung oder Pseudonymisier</w:t>
      </w:r>
      <w:r w:rsidR="00601B21">
        <w:t xml:space="preserve">ung von Messdaten. Vergleichbare </w:t>
      </w:r>
      <w:r w:rsidR="00BF077D" w:rsidRPr="004B2295">
        <w:t>Pe</w:t>
      </w:r>
      <w:r w:rsidR="00BF077D" w:rsidRPr="004B2295">
        <w:t>r</w:t>
      </w:r>
      <w:r w:rsidR="00BF077D" w:rsidRPr="004B2295">
        <w:t xml:space="preserve">spektiven der Nutzung des </w:t>
      </w:r>
      <w:r w:rsidR="00BF077D" w:rsidRPr="004B2295">
        <w:rPr>
          <w:b/>
          <w:i/>
        </w:rPr>
        <w:t>bildhaften Planes</w:t>
      </w:r>
      <w:r w:rsidR="00BF077D" w:rsidRPr="004B2295">
        <w:t xml:space="preserve"> </w:t>
      </w:r>
      <w:r w:rsidR="00601B21">
        <w:t xml:space="preserve">finden </w:t>
      </w:r>
      <w:r w:rsidR="00BF077D" w:rsidRPr="004B2295">
        <w:t xml:space="preserve">sich grundsätzlich ebenso auf der normativen Ebene von </w:t>
      </w:r>
      <w:r w:rsidR="00BF077D" w:rsidRPr="004B2295">
        <w:rPr>
          <w:b/>
          <w:i/>
        </w:rPr>
        <w:t>interessengerechten Gestaltungsa</w:t>
      </w:r>
      <w:r w:rsidR="00BF077D" w:rsidRPr="004B2295">
        <w:rPr>
          <w:b/>
          <w:i/>
        </w:rPr>
        <w:t>l</w:t>
      </w:r>
      <w:r w:rsidR="00BF077D" w:rsidRPr="004B2295">
        <w:rPr>
          <w:b/>
          <w:i/>
        </w:rPr>
        <w:t>ternativen</w:t>
      </w:r>
      <w:r w:rsidR="00BF077D" w:rsidRPr="004B2295">
        <w:t xml:space="preserve"> und konkreten Entscheidungsmechanismen</w:t>
      </w:r>
      <w:r w:rsidR="00601B21">
        <w:t>.</w:t>
      </w:r>
      <w:r w:rsidR="00BF077D" w:rsidRPr="004B2295">
        <w:t xml:space="preserve"> </w:t>
      </w:r>
    </w:p>
    <w:p w:rsidR="00BF077D" w:rsidRPr="004B2295" w:rsidRDefault="00BF077D" w:rsidP="006E7507">
      <w:r w:rsidRPr="004B2295">
        <w:t xml:space="preserve">Diese erste Näherung zeigt, dass für die Persistierung und Repräsentation von Sachwissen, wie der Nutzung der </w:t>
      </w:r>
      <w:r w:rsidRPr="004B2295">
        <w:rPr>
          <w:b/>
          <w:i/>
        </w:rPr>
        <w:t>Symbolik des „Plans“</w:t>
      </w:r>
      <w:r w:rsidRPr="004B2295">
        <w:t xml:space="preserve"> als Entsche</w:t>
      </w:r>
      <w:r w:rsidRPr="004B2295">
        <w:t>i</w:t>
      </w:r>
      <w:r w:rsidRPr="004B2295">
        <w:t>dungsgrundlage neben dem klassi</w:t>
      </w:r>
      <w:r w:rsidR="00FF35E0">
        <w:t>s</w:t>
      </w:r>
      <w:r w:rsidRPr="004B2295">
        <w:t xml:space="preserve">chen Gedankenexperiment eine analoge Betrachtung dieses bildlichen Repräsentationsmittels </w:t>
      </w:r>
      <w:r w:rsidR="00601B21">
        <w:t xml:space="preserve">in Frage kommt. </w:t>
      </w:r>
    </w:p>
    <w:p w:rsidR="00BF077D" w:rsidRPr="004B2295" w:rsidRDefault="00601B21" w:rsidP="006E7507">
      <w:r>
        <w:t>D</w:t>
      </w:r>
      <w:r w:rsidR="00BF077D" w:rsidRPr="004B2295">
        <w:t>er für das raumbedeutsame Planungsrecht grundlegende Befund zur Ve</w:t>
      </w:r>
      <w:r w:rsidR="00BF077D" w:rsidRPr="004B2295">
        <w:t>r</w:t>
      </w:r>
      <w:r w:rsidR="00BF077D" w:rsidRPr="004B2295">
        <w:t xml:space="preserve">wendung von bildlichen Symboliken </w:t>
      </w:r>
      <w:r>
        <w:t xml:space="preserve">kann für </w:t>
      </w:r>
      <w:r w:rsidR="00BF077D" w:rsidRPr="004B2295">
        <w:t>Festlegungsverfahren zu komplexen IKT-Infrastrukturen des Energiemarktes grundlegend überno</w:t>
      </w:r>
      <w:r w:rsidR="00BF077D" w:rsidRPr="004B2295">
        <w:t>m</w:t>
      </w:r>
      <w:r w:rsidR="00BF077D" w:rsidRPr="004B2295">
        <w:t>men werden. Denn in Fachplanungen, die eine räumliche Relation zum G</w:t>
      </w:r>
      <w:r w:rsidR="00BF077D" w:rsidRPr="004B2295">
        <w:t>e</w:t>
      </w:r>
      <w:r w:rsidR="00BF077D" w:rsidRPr="004B2295">
        <w:t>genstand haben, soll die Landkarte die Aufgabe übernehmen, „</w:t>
      </w:r>
      <w:r w:rsidR="00BF077D" w:rsidRPr="004B2295">
        <w:rPr>
          <w:i/>
        </w:rPr>
        <w:t>Planungsi</w:t>
      </w:r>
      <w:r w:rsidR="00BF077D" w:rsidRPr="004B2295">
        <w:rPr>
          <w:i/>
        </w:rPr>
        <w:t>n</w:t>
      </w:r>
      <w:r w:rsidR="00BF077D" w:rsidRPr="004B2295">
        <w:rPr>
          <w:i/>
        </w:rPr>
        <w:t>halte</w:t>
      </w:r>
      <w:r w:rsidR="00FF35E0">
        <w:rPr>
          <w:i/>
        </w:rPr>
        <w:t xml:space="preserve"> sinnlich wahrnehmbar zu machen</w:t>
      </w:r>
      <w:r w:rsidR="006D171B">
        <w:rPr>
          <w:i/>
        </w:rPr>
        <w:t xml:space="preserve"> </w:t>
      </w:r>
      <w:r w:rsidR="00BF077D" w:rsidRPr="004B2295">
        <w:rPr>
          <w:i/>
        </w:rPr>
        <w:t>und somit erst eine planerische Gegenstandskonstruktion ermögliche, die ansonsten</w:t>
      </w:r>
      <w:r w:rsidR="00BF077D" w:rsidRPr="004B2295">
        <w:rPr>
          <w:b/>
          <w:i/>
        </w:rPr>
        <w:t xml:space="preserve"> an den Grenzen </w:t>
      </w:r>
      <w:r w:rsidR="00BF077D" w:rsidRPr="004B2295">
        <w:rPr>
          <w:b/>
          <w:i/>
        </w:rPr>
        <w:lastRenderedPageBreak/>
        <w:t>sprachlicher Darstellbarkeit scheitern würde“</w:t>
      </w:r>
      <w:r w:rsidR="00BF077D" w:rsidRPr="004B2295">
        <w:t>.</w:t>
      </w:r>
      <w:r w:rsidR="00BF077D" w:rsidRPr="004B2295">
        <w:rPr>
          <w:vertAlign w:val="superscript"/>
        </w:rPr>
        <w:footnoteReference w:id="121"/>
      </w:r>
      <w:r w:rsidR="00BF077D" w:rsidRPr="004B2295">
        <w:t xml:space="preserve"> Eben diese </w:t>
      </w:r>
      <w:r w:rsidR="00C84497">
        <w:t>„</w:t>
      </w:r>
      <w:r w:rsidR="00BF077D" w:rsidRPr="004B2295">
        <w:t>Verbalisi</w:t>
      </w:r>
      <w:r w:rsidR="00BF077D" w:rsidRPr="004B2295">
        <w:t>e</w:t>
      </w:r>
      <w:r w:rsidR="00BF077D" w:rsidRPr="004B2295">
        <w:t>rungs</w:t>
      </w:r>
      <w:r w:rsidR="00FF35E0">
        <w:t>schranke</w:t>
      </w:r>
      <w:r w:rsidR="00C84497">
        <w:t>“</w:t>
      </w:r>
      <w:r w:rsidR="00BF077D" w:rsidRPr="004B2295">
        <w:t xml:space="preserve"> ist als Motiv für die gezeigten Defizite in bisherigen tec</w:t>
      </w:r>
      <w:r w:rsidR="00BF077D" w:rsidRPr="004B2295">
        <w:t>h</w:t>
      </w:r>
      <w:r w:rsidR="00BF077D" w:rsidRPr="004B2295">
        <w:t>nikwirksamen legislativen und behördlichen Entscheidungsverfahren au</w:t>
      </w:r>
      <w:r w:rsidR="00BF077D" w:rsidRPr="004B2295">
        <w:t>s</w:t>
      </w:r>
      <w:r w:rsidR="00BF077D" w:rsidRPr="004B2295">
        <w:t>zumachen, wie nachdrücklich das Beispiel der inkompatiblen Kommunikationsmodelle von BNetzA und BSI zeigt.</w:t>
      </w:r>
      <w:r w:rsidR="002C144B">
        <w:t xml:space="preserve"> Hier fehlte es nicht nur an einer Vorstellung von normativem Wissen anderer Wissensträger, sondern auch in den </w:t>
      </w:r>
      <w:r w:rsidR="00F12F14">
        <w:t xml:space="preserve">bestehenden </w:t>
      </w:r>
      <w:r w:rsidR="002C144B">
        <w:t>Gestaltungen des elektronischen Marktes. Mithin des Sachwissens über die Architektur des gegebenen digitalen Ene</w:t>
      </w:r>
      <w:r w:rsidR="002C144B">
        <w:t>r</w:t>
      </w:r>
      <w:r w:rsidR="002C144B">
        <w:t>giemarktes.</w:t>
      </w:r>
    </w:p>
    <w:p w:rsidR="002C144B" w:rsidRDefault="00F12F14" w:rsidP="006E7507">
      <w:r>
        <w:t>Neben der Verbildlichung der bestehenden</w:t>
      </w:r>
      <w:r w:rsidR="00BF077D" w:rsidRPr="004B2295">
        <w:t xml:space="preserve"> räumlichen Sachgrundlagen ist gerade bei bauplanenden Entscheidungsverfahren die Grundlage für den hier als normatives Wissen bezeichneten Bereich von inhaltlichen Abwägung</w:t>
      </w:r>
      <w:r w:rsidR="00BF077D" w:rsidRPr="004B2295">
        <w:t>s</w:t>
      </w:r>
      <w:r w:rsidR="00BF077D" w:rsidRPr="004B2295">
        <w:t>entscheidungen zwischen Individual- und Gese</w:t>
      </w:r>
      <w:r>
        <w:t>llschaftsinteressen zentral, da</w:t>
      </w:r>
      <w:r w:rsidR="00BF077D" w:rsidRPr="004B2295">
        <w:t xml:space="preserve"> der visuelle Plan als Umsetzungsmedium zur symbolischen Komplexitätsr</w:t>
      </w:r>
      <w:r w:rsidR="00BF077D" w:rsidRPr="004B2295">
        <w:t>e</w:t>
      </w:r>
      <w:r w:rsidR="00BF077D" w:rsidRPr="004B2295">
        <w:t>duktion Verwendung findet. Denn „</w:t>
      </w:r>
      <w:r w:rsidR="00BF077D" w:rsidRPr="004B2295">
        <w:rPr>
          <w:i/>
        </w:rPr>
        <w:t>die klassische Raumordnung [nimmt] Leitvorstellungen wie den Ausgleich von sozialen, wirtschaftlichen und ök</w:t>
      </w:r>
      <w:r w:rsidR="00BF077D" w:rsidRPr="004B2295">
        <w:rPr>
          <w:i/>
        </w:rPr>
        <w:t>o</w:t>
      </w:r>
      <w:r w:rsidR="00BF077D" w:rsidRPr="004B2295">
        <w:rPr>
          <w:i/>
        </w:rPr>
        <w:t>logischen Ansprüchen an den Raum auf hohem Abstraktionsniveau in den Fokus und stellt eine Bilanz der verschiedenen Ansprüche dar.“</w:t>
      </w:r>
      <w:r w:rsidR="00BF077D" w:rsidRPr="004B2295">
        <w:rPr>
          <w:vertAlign w:val="superscript"/>
        </w:rPr>
        <w:footnoteReference w:id="122"/>
      </w:r>
      <w:r w:rsidR="00BF077D" w:rsidRPr="004B2295">
        <w:t xml:space="preserve"> </w:t>
      </w:r>
      <w:r w:rsidR="002C144B" w:rsidRPr="002C144B">
        <w:t>Diese Sicht auf den Plan erlaubt es zwischen konkreten Maßnahmen zum Schutz und Interessenaus</w:t>
      </w:r>
      <w:r>
        <w:t>gleich zu wählen und eine</w:t>
      </w:r>
      <w:r w:rsidR="002C144B" w:rsidRPr="002C144B">
        <w:t xml:space="preserve"> </w:t>
      </w:r>
      <w:proofErr w:type="gramStart"/>
      <w:r w:rsidR="002C144B" w:rsidRPr="002C144B">
        <w:t>wechselseitigen</w:t>
      </w:r>
      <w:proofErr w:type="gramEnd"/>
      <w:r w:rsidR="002C144B" w:rsidRPr="002C144B">
        <w:t xml:space="preserve"> Optimierung zu erreichen. Auch hier sind die Bedürfnisse für die Architekturen, Systeme und Komponenten des Smart Grid gleichlaufend, als die optimierende Wahl zwischen einem Lärmschutzwall oder einer Schallschutzverglasung zur Emissionsminderung z.B. ei</w:t>
      </w:r>
      <w:r>
        <w:t>ne</w:t>
      </w:r>
      <w:r w:rsidR="002C144B" w:rsidRPr="002C144B">
        <w:t xml:space="preserve"> </w:t>
      </w:r>
      <w:r>
        <w:t>Entsprechung</w:t>
      </w:r>
      <w:r w:rsidR="002C144B" w:rsidRPr="002C144B">
        <w:t xml:space="preserve"> in der Wahl von pseudonymer- oder anonymer Datenverwendung im digitalen Raum und den korrespondi</w:t>
      </w:r>
      <w:r w:rsidR="002C144B" w:rsidRPr="002C144B">
        <w:t>e</w:t>
      </w:r>
      <w:r w:rsidR="002C144B" w:rsidRPr="002C144B">
        <w:t>renden Architekturentscheidun</w:t>
      </w:r>
      <w:r>
        <w:t>gen findet</w:t>
      </w:r>
      <w:r w:rsidR="002C144B" w:rsidRPr="002C144B">
        <w:t>.</w:t>
      </w:r>
    </w:p>
    <w:p w:rsidR="00BF077D" w:rsidRPr="004B2295" w:rsidRDefault="00F12F14" w:rsidP="006E7507">
      <w:r>
        <w:t>Gleichsam</w:t>
      </w:r>
      <w:r w:rsidR="00BF077D" w:rsidRPr="004B2295">
        <w:t xml:space="preserve"> sind die </w:t>
      </w:r>
      <w:r w:rsidR="00BF077D" w:rsidRPr="004B2295">
        <w:rPr>
          <w:b/>
          <w:i/>
        </w:rPr>
        <w:t>Formen der notwendigen Darstellung</w:t>
      </w:r>
      <w:r w:rsidR="00FF35E0">
        <w:t xml:space="preserve"> </w:t>
      </w:r>
      <w:r w:rsidR="00BF077D" w:rsidRPr="004B2295">
        <w:t>zwischen textl</w:t>
      </w:r>
      <w:r w:rsidR="00BF077D" w:rsidRPr="004B2295">
        <w:t>i</w:t>
      </w:r>
      <w:r w:rsidR="00BF077D" w:rsidRPr="004B2295">
        <w:t xml:space="preserve">cher und graphischer Symbolik grundlegend vergleichbar. So wie </w:t>
      </w:r>
      <w:r>
        <w:t>Raumor</w:t>
      </w:r>
      <w:r>
        <w:t>d</w:t>
      </w:r>
      <w:r>
        <w:lastRenderedPageBreak/>
        <w:t xml:space="preserve">nungspläne </w:t>
      </w:r>
      <w:r w:rsidR="00BF077D" w:rsidRPr="004B2295">
        <w:t>als Mittel der Darstellung im Stra</w:t>
      </w:r>
      <w:r w:rsidR="00FF35E0">
        <w:t xml:space="preserve">ßenbau </w:t>
      </w:r>
      <w:r w:rsidR="00BF077D" w:rsidRPr="004B2295">
        <w:t>„</w:t>
      </w:r>
      <w:r w:rsidR="00BF077D" w:rsidRPr="004B2295">
        <w:rPr>
          <w:i/>
        </w:rPr>
        <w:t>vom Träger der Pl</w:t>
      </w:r>
      <w:r w:rsidR="00BF077D" w:rsidRPr="004B2295">
        <w:rPr>
          <w:i/>
        </w:rPr>
        <w:t>a</w:t>
      </w:r>
      <w:r w:rsidR="00BF077D" w:rsidRPr="004B2295">
        <w:rPr>
          <w:i/>
        </w:rPr>
        <w:t>nung abgewogene textliche oder zeichnerische Festlegungen enthalten“</w:t>
      </w:r>
      <w:r w:rsidR="00BF077D" w:rsidRPr="004B2295">
        <w:rPr>
          <w:i/>
          <w:vertAlign w:val="superscript"/>
        </w:rPr>
        <w:footnoteReference w:id="123"/>
      </w:r>
      <w:r>
        <w:t xml:space="preserve">, </w:t>
      </w:r>
      <w:r w:rsidR="00BF077D" w:rsidRPr="004B2295">
        <w:t>sind für den Bereich der Festlegungen zur IKT im Smart</w:t>
      </w:r>
      <w:r w:rsidR="00C32826">
        <w:t xml:space="preserve"> </w:t>
      </w:r>
      <w:r w:rsidR="00BF077D" w:rsidRPr="004B2295">
        <w:t>Grid</w:t>
      </w:r>
      <w:r w:rsidR="006D171B">
        <w:t xml:space="preserve"> </w:t>
      </w:r>
      <w:r w:rsidR="00BF077D" w:rsidRPr="004B2295">
        <w:t>grundsätzlich eben Kombinatorik zwischen textueller Beschreibung</w:t>
      </w:r>
      <w:r w:rsidR="00FF35E0">
        <w:t>,</w:t>
      </w:r>
      <w:r w:rsidR="00BF077D" w:rsidRPr="004B2295">
        <w:t xml:space="preserve"> z.B. von Zielen einer normativen Vorgabe und der graphisch-symbolischen Annotation von ko</w:t>
      </w:r>
      <w:r w:rsidR="00BF077D" w:rsidRPr="004B2295">
        <w:t>n</w:t>
      </w:r>
      <w:r w:rsidR="00BF077D" w:rsidRPr="004B2295">
        <w:t>kreten technischen Sicherheitsmechanismen in</w:t>
      </w:r>
      <w:r w:rsidR="006D171B">
        <w:t xml:space="preserve"> </w:t>
      </w:r>
      <w:r w:rsidR="00BF077D" w:rsidRPr="004B2295">
        <w:t xml:space="preserve">Prozessmodellen denkbar. </w:t>
      </w:r>
    </w:p>
    <w:p w:rsidR="00BF077D" w:rsidRPr="004B2295" w:rsidRDefault="00BF077D" w:rsidP="006E7507">
      <w:r w:rsidRPr="004B2295">
        <w:t>Es ist allerdings im Hinblick auf die Verfahrenswirkungen und den normat</w:t>
      </w:r>
      <w:r w:rsidRPr="004B2295">
        <w:t>i</w:t>
      </w:r>
      <w:r w:rsidRPr="004B2295">
        <w:t>ven Rahmen festzuhalte</w:t>
      </w:r>
      <w:r w:rsidR="00FF35E0">
        <w:t>n</w:t>
      </w:r>
      <w:r w:rsidRPr="004B2295">
        <w:t>, dass bei Regulierungsentscheidungen grundsät</w:t>
      </w:r>
      <w:r w:rsidRPr="004B2295">
        <w:t>z</w:t>
      </w:r>
      <w:r w:rsidRPr="004B2295">
        <w:t>lich auch Unterschied</w:t>
      </w:r>
      <w:r w:rsidR="00FF35E0">
        <w:t>e</w:t>
      </w:r>
      <w:r w:rsidRPr="004B2295">
        <w:t xml:space="preserve"> zu eigentlichen Planungsentscheidungen mit A</w:t>
      </w:r>
      <w:r w:rsidRPr="004B2295">
        <w:t>u</w:t>
      </w:r>
      <w:r w:rsidRPr="004B2295">
        <w:t xml:space="preserve">ßenwirkung bestehen. Letztere sind als Finalprogramm formuliert und </w:t>
      </w:r>
      <w:r w:rsidR="00F12F14">
        <w:t xml:space="preserve">zeichnen sich </w:t>
      </w:r>
      <w:r w:rsidRPr="004B2295">
        <w:t xml:space="preserve">durch ein formal konditionales Entscheidungsprogramm aus. Planung ist </w:t>
      </w:r>
      <w:r w:rsidR="00F12F14">
        <w:t xml:space="preserve">somit </w:t>
      </w:r>
      <w:r w:rsidRPr="004B2295">
        <w:t>in der Regulierung regelmäßig nicht das rechtsverbindl</w:t>
      </w:r>
      <w:r w:rsidRPr="004B2295">
        <w:t>i</w:t>
      </w:r>
      <w:r w:rsidRPr="004B2295">
        <w:t>ches Ergebnis des Entscheidungsvorgangs, sondern der Einzelfallentsche</w:t>
      </w:r>
      <w:r w:rsidRPr="004B2295">
        <w:t>i</w:t>
      </w:r>
      <w:r w:rsidRPr="004B2295">
        <w:t xml:space="preserve">dung vorgelagerte, </w:t>
      </w:r>
      <w:r w:rsidRPr="004B2295">
        <w:rPr>
          <w:b/>
          <w:i/>
        </w:rPr>
        <w:t>interne Handlungskoordination</w:t>
      </w:r>
      <w:r w:rsidRPr="004B2295">
        <w:t>.</w:t>
      </w:r>
      <w:r w:rsidRPr="004B2295">
        <w:rPr>
          <w:vertAlign w:val="superscript"/>
        </w:rPr>
        <w:footnoteReference w:id="124"/>
      </w:r>
    </w:p>
    <w:p w:rsidR="00BF077D" w:rsidRPr="004B2295" w:rsidRDefault="00BF077D" w:rsidP="006E7507">
      <w:r w:rsidRPr="004B2295">
        <w:t>Grundlegend kann davon ausgegangen werden, dass im Hinblick auf die symbolische Ebene der Wissensgenerierung und</w:t>
      </w:r>
      <w:r w:rsidR="00A379CD">
        <w:t xml:space="preserve"> Speicherung</w:t>
      </w:r>
      <w:r w:rsidRPr="004B2295">
        <w:t>, wie auch der Eignung zur normativen Abwägung von technikwirksamen Entscheidung</w:t>
      </w:r>
      <w:r w:rsidRPr="004B2295">
        <w:t>s</w:t>
      </w:r>
      <w:r w:rsidRPr="004B2295">
        <w:t>alternativen</w:t>
      </w:r>
      <w:r w:rsidR="00FF35E0">
        <w:t>,</w:t>
      </w:r>
      <w:r w:rsidRPr="004B2295">
        <w:t xml:space="preserve"> Mechan</w:t>
      </w:r>
      <w:r w:rsidR="00F12F14">
        <w:t>ismen und der grundlegenden Methodik</w:t>
      </w:r>
      <w:r w:rsidRPr="004B2295">
        <w:t xml:space="preserve"> der raumb</w:t>
      </w:r>
      <w:r w:rsidRPr="004B2295">
        <w:t>e</w:t>
      </w:r>
      <w:r w:rsidRPr="004B2295">
        <w:t>deutsamen Planung</w:t>
      </w:r>
      <w:r w:rsidR="00F12F14">
        <w:t>,</w:t>
      </w:r>
      <w:r w:rsidRPr="004B2295">
        <w:t xml:space="preserve"> in einem erweiterten Festlegungsverfahren eine sin</w:t>
      </w:r>
      <w:r w:rsidRPr="004B2295">
        <w:t>n</w:t>
      </w:r>
      <w:r w:rsidRPr="004B2295">
        <w:t>volle Ergän</w:t>
      </w:r>
      <w:r w:rsidR="00F12F14">
        <w:t>zung zum S</w:t>
      </w:r>
      <w:r w:rsidR="00FF35E0">
        <w:t>tatus-quo darstell</w:t>
      </w:r>
      <w:r w:rsidRPr="004B2295">
        <w:t>en.</w:t>
      </w:r>
    </w:p>
    <w:p w:rsidR="00BF077D" w:rsidRPr="004B2295" w:rsidRDefault="00BF077D" w:rsidP="006E7507">
      <w:r w:rsidRPr="004B2295">
        <w:t>Aus der Perspektive der sinnvollen symbolischen Annotation ist aus dem raumbedeutsamen Planungsrecht weiterhin die Verwendung von legislativ vor</w:t>
      </w:r>
      <w:r w:rsidR="00D27E15">
        <w:t xml:space="preserve">strukturierten </w:t>
      </w:r>
      <w:r w:rsidRPr="004B2295">
        <w:t>Planzeichen aus der Anlage zur Planzeichenverordnung (PlanZV)</w:t>
      </w:r>
      <w:r w:rsidR="002C144B">
        <w:rPr>
          <w:rStyle w:val="Funotenzeichen"/>
        </w:rPr>
        <w:footnoteReference w:id="125"/>
      </w:r>
      <w:r w:rsidRPr="004B2295">
        <w:t xml:space="preserve"> konstruktiv zu bedenken. Diese Planzeichen dienen der bildl</w:t>
      </w:r>
      <w:r w:rsidRPr="004B2295">
        <w:t>i</w:t>
      </w:r>
      <w:r w:rsidRPr="004B2295">
        <w:t xml:space="preserve">chen Komplexitätsreduktion und sind </w:t>
      </w:r>
      <w:r w:rsidR="002C144B">
        <w:t>jeweils in eine ikonographische</w:t>
      </w:r>
      <w:r w:rsidRPr="004B2295">
        <w:t xml:space="preserve"> A</w:t>
      </w:r>
      <w:r w:rsidRPr="004B2295">
        <w:t>b</w:t>
      </w:r>
      <w:r w:rsidRPr="004B2295">
        <w:t>bildung mit einer textuellen Beschreibung der Semantik des jeweiligen Ze</w:t>
      </w:r>
      <w:r w:rsidRPr="004B2295">
        <w:t>i</w:t>
      </w:r>
      <w:r w:rsidRPr="004B2295">
        <w:t xml:space="preserve">chens verbunden. Für den Untersuchungsgegenstand </w:t>
      </w:r>
      <w:r w:rsidR="00D27E15">
        <w:t xml:space="preserve">ist </w:t>
      </w:r>
      <w:r w:rsidRPr="004B2295">
        <w:t xml:space="preserve">von besonderem </w:t>
      </w:r>
      <w:r w:rsidRPr="004B2295">
        <w:lastRenderedPageBreak/>
        <w:t>Interesse, dass nicht nur Zeichen, Texturen und Schraffuren für die B</w:t>
      </w:r>
      <w:r w:rsidRPr="004B2295">
        <w:t>e</w:t>
      </w:r>
      <w:r w:rsidRPr="004B2295">
        <w:t xml:space="preserve">schreibung der </w:t>
      </w:r>
      <w:r w:rsidR="00D27E15">
        <w:t xml:space="preserve">bestehenden </w:t>
      </w:r>
      <w:r w:rsidRPr="004B2295">
        <w:t>Umweltbedingungen vorhanden sind, sondern auch graphische Symboliken</w:t>
      </w:r>
      <w:r w:rsidR="002C144B">
        <w:t>,</w:t>
      </w:r>
      <w:r w:rsidRPr="004B2295">
        <w:t xml:space="preserve"> die aus einer spezifischen Schutzperspektive eingeführt werden, wie z.B. die Umgrenzung von Flächen für Maßnahmen zum Schutz und zur Pflege von Natur und Landschaft</w:t>
      </w:r>
      <w:r w:rsidR="00D27E15">
        <w:t>,</w:t>
      </w:r>
      <w:r w:rsidRPr="004B2295">
        <w:rPr>
          <w:vertAlign w:val="superscript"/>
        </w:rPr>
        <w:footnoteReference w:id="126"/>
      </w:r>
      <w:r w:rsidRPr="004B2295">
        <w:t xml:space="preserve"> die sich auf konkr</w:t>
      </w:r>
      <w:r w:rsidRPr="004B2295">
        <w:t>e</w:t>
      </w:r>
      <w:r w:rsidRPr="004B2295">
        <w:t>te Ergebnisse von materiellen Abwägungen nach § 1 Abs. 6 Nr. 7 BauGB und darauf beruhenden materiellen inhaltlichen Festsetzungen von Ma</w:t>
      </w:r>
      <w:r w:rsidRPr="004B2295">
        <w:t>ß</w:t>
      </w:r>
      <w:r w:rsidRPr="004B2295">
        <w:t>nahmen nach 5 Abs. 2 Nr. 10 BauGB zum Flächennutzungsplan bzw. § 9 Abs. 1</w:t>
      </w:r>
      <w:r w:rsidR="006D171B">
        <w:t xml:space="preserve"> </w:t>
      </w:r>
      <w:r w:rsidRPr="004B2295">
        <w:t>Nr. 20 BauGB zum Bebauungsplan beziehen. Eben diese Form der Komplexitätsreduktion durch eine eindeutige Semantik in Bildsymboliken und von konkreten Maßnahmen zur Verwirklichung von divergierenden Zielvorgaben</w:t>
      </w:r>
      <w:r w:rsidR="002C144B">
        <w:t>,</w:t>
      </w:r>
      <w:r w:rsidRPr="004B2295">
        <w:t xml:space="preserve"> ist ein weiterer Ansatzpunkt insbesondere für die technische Unterstützung von vergleichbaren Herausforderungen im </w:t>
      </w:r>
      <w:r w:rsidRPr="002C144B">
        <w:rPr>
          <w:b/>
          <w:i/>
        </w:rPr>
        <w:t>„virtuellen Raum“ des Smart Grid</w:t>
      </w:r>
      <w:r w:rsidRPr="004B2295">
        <w:t xml:space="preserve">. </w:t>
      </w:r>
    </w:p>
    <w:p w:rsidR="00BF077D" w:rsidRPr="004B2295" w:rsidRDefault="00BF077D" w:rsidP="006E7507">
      <w:r w:rsidRPr="004B2295">
        <w:t xml:space="preserve">Da </w:t>
      </w:r>
      <w:r w:rsidR="00D27E15">
        <w:t xml:space="preserve">sich </w:t>
      </w:r>
      <w:r w:rsidRPr="004B2295">
        <w:t xml:space="preserve">symbolischen Formen </w:t>
      </w:r>
      <w:r w:rsidR="00D27E15">
        <w:t xml:space="preserve">möglicherweise </w:t>
      </w:r>
      <w:r w:rsidRPr="004B2295">
        <w:t xml:space="preserve">zur Verbesserung der </w:t>
      </w:r>
      <w:r w:rsidRPr="004B2295">
        <w:rPr>
          <w:b/>
          <w:i/>
        </w:rPr>
        <w:t>Ler</w:t>
      </w:r>
      <w:r w:rsidRPr="004B2295">
        <w:rPr>
          <w:b/>
          <w:i/>
        </w:rPr>
        <w:t>n</w:t>
      </w:r>
      <w:r w:rsidRPr="004B2295">
        <w:rPr>
          <w:b/>
          <w:i/>
        </w:rPr>
        <w:t>fähigkeit</w:t>
      </w:r>
      <w:r w:rsidRPr="004B2295">
        <w:t xml:space="preserve"> in einem modernisierten Festlegungsverfahren</w:t>
      </w:r>
      <w:r w:rsidR="00D27E15">
        <w:t xml:space="preserve"> einsetzen lassen, um eine </w:t>
      </w:r>
      <w:r w:rsidRPr="004B2295">
        <w:t>notwe</w:t>
      </w:r>
      <w:r w:rsidR="002C144B">
        <w:t>ndi</w:t>
      </w:r>
      <w:r w:rsidR="00D27E15">
        <w:t>ge</w:t>
      </w:r>
      <w:r w:rsidR="002C144B">
        <w:t xml:space="preserve"> gestuf</w:t>
      </w:r>
      <w:r w:rsidR="00D27E15">
        <w:t>te</w:t>
      </w:r>
      <w:r w:rsidR="002C144B">
        <w:t xml:space="preserve"> Gewinnung und </w:t>
      </w:r>
      <w:r w:rsidRPr="004B2295">
        <w:t xml:space="preserve">Persistierung des relevanten Entscheidungswissens aus bestehenden Verfahrensschritten im Bereich der privaten Standardisierung von komplexen IKT-Infrastrukturen </w:t>
      </w:r>
      <w:r w:rsidR="00D27E15">
        <w:t>zu verwirkl</w:t>
      </w:r>
      <w:r w:rsidR="00D27E15">
        <w:t>i</w:t>
      </w:r>
      <w:r w:rsidR="00D27E15">
        <w:t xml:space="preserve">chen, </w:t>
      </w:r>
      <w:r w:rsidRPr="004B2295">
        <w:t>sollen im nächs</w:t>
      </w:r>
      <w:r w:rsidR="00BD0633">
        <w:t xml:space="preserve">ten </w:t>
      </w:r>
      <w:r w:rsidRPr="004B2295">
        <w:t xml:space="preserve">Schritt überblicksartig </w:t>
      </w:r>
      <w:r w:rsidR="00BD0633">
        <w:t xml:space="preserve">daraus erwachsende </w:t>
      </w:r>
      <w:r w:rsidRPr="004B2295">
        <w:t>Impl</w:t>
      </w:r>
      <w:r w:rsidRPr="004B2295">
        <w:t>i</w:t>
      </w:r>
      <w:r w:rsidRPr="004B2295">
        <w:t>kationen dargelegt werden.</w:t>
      </w:r>
    </w:p>
    <w:p w:rsidR="001D4DF8" w:rsidRDefault="001D4DF8" w:rsidP="00F91B0D">
      <w:pPr>
        <w:pStyle w:val="berschrift1"/>
        <w:sectPr w:rsidR="001D4DF8" w:rsidSect="00AC12B6">
          <w:footerReference w:type="first" r:id="rId23"/>
          <w:footnotePr>
            <w:numRestart w:val="eachSect"/>
          </w:footnotePr>
          <w:type w:val="oddPage"/>
          <w:pgSz w:w="11906" w:h="16838" w:code="9"/>
          <w:pgMar w:top="2041" w:right="1304" w:bottom="2041" w:left="1985" w:header="1134" w:footer="1134" w:gutter="0"/>
          <w:cols w:space="708"/>
          <w:titlePg/>
          <w:docGrid w:linePitch="360"/>
        </w:sectPr>
      </w:pPr>
      <w:bookmarkStart w:id="96" w:name="_Ref467501707"/>
      <w:bookmarkStart w:id="97" w:name="_Toc490827497"/>
    </w:p>
    <w:p w:rsidR="00BF077D" w:rsidRPr="004B2295" w:rsidRDefault="00BF077D" w:rsidP="00F91B0D">
      <w:pPr>
        <w:pStyle w:val="berschrift1"/>
      </w:pPr>
      <w:bookmarkStart w:id="98" w:name="_Toc491418258"/>
      <w:r w:rsidRPr="004B2295">
        <w:lastRenderedPageBreak/>
        <w:t>Lernfähigkeit und Stabilisierung von Wissen in nicht förmlichen Verfahren</w:t>
      </w:r>
      <w:bookmarkEnd w:id="96"/>
      <w:bookmarkEnd w:id="97"/>
      <w:bookmarkEnd w:id="98"/>
    </w:p>
    <w:p w:rsidR="00BF077D" w:rsidRPr="004B2295" w:rsidRDefault="00D27E15" w:rsidP="006E7507">
      <w:r>
        <w:t xml:space="preserve">Eine weitere </w:t>
      </w:r>
      <w:r w:rsidR="00BF077D" w:rsidRPr="004B2295">
        <w:t xml:space="preserve">Dimension im Hinblick auf die </w:t>
      </w:r>
      <w:r w:rsidR="00BF077D" w:rsidRPr="004B2295">
        <w:rPr>
          <w:b/>
          <w:i/>
        </w:rPr>
        <w:t>Lernfähigkeit</w:t>
      </w:r>
      <w:r w:rsidR="00BF077D" w:rsidRPr="004B2295">
        <w:t xml:space="preserve"> eines </w:t>
      </w:r>
      <w:r w:rsidR="00BD0633">
        <w:t>entspr</w:t>
      </w:r>
      <w:r w:rsidR="00BD0633">
        <w:t>e</w:t>
      </w:r>
      <w:r w:rsidR="00BD0633">
        <w:t xml:space="preserve">chend </w:t>
      </w:r>
      <w:r w:rsidR="00BF077D" w:rsidRPr="004B2295">
        <w:t xml:space="preserve">angereicherten Festlegungsverfahrens </w:t>
      </w:r>
      <w:r w:rsidR="00BD0633">
        <w:t xml:space="preserve">eröffnet der </w:t>
      </w:r>
      <w:r w:rsidR="00BF077D" w:rsidRPr="004B2295">
        <w:t xml:space="preserve">Befund, dass die </w:t>
      </w:r>
      <w:r w:rsidR="00BF077D" w:rsidRPr="004B2295">
        <w:rPr>
          <w:b/>
          <w:i/>
        </w:rPr>
        <w:t>M</w:t>
      </w:r>
      <w:r w:rsidR="002C144B">
        <w:rPr>
          <w:b/>
          <w:i/>
        </w:rPr>
        <w:t xml:space="preserve">ethodik der Wissensgenerierung und </w:t>
      </w:r>
      <w:r w:rsidR="00BF077D" w:rsidRPr="004B2295">
        <w:rPr>
          <w:b/>
          <w:i/>
        </w:rPr>
        <w:t>Wissenspersistierung</w:t>
      </w:r>
      <w:r w:rsidR="00BF077D" w:rsidRPr="004B2295">
        <w:t xml:space="preserve"> im bestehe</w:t>
      </w:r>
      <w:r w:rsidR="00BF077D" w:rsidRPr="004B2295">
        <w:t>n</w:t>
      </w:r>
      <w:r w:rsidR="00BF077D" w:rsidRPr="004B2295">
        <w:t>den Festlegungsverfahren, wenig</w:t>
      </w:r>
      <w:r w:rsidR="00654A1C">
        <w:t>er</w:t>
      </w:r>
      <w:r w:rsidR="00BF077D" w:rsidRPr="004B2295">
        <w:t xml:space="preserve"> den modernen Formen entspricht, wie sie im Bereich der vergleichbaren Standardisierung von komplexen IKT-Infrastrukturen des pr</w:t>
      </w:r>
      <w:r w:rsidR="00654A1C">
        <w:t xml:space="preserve">ivaten Sektors etabliert sind. Mit Blick auf </w:t>
      </w:r>
      <w:r w:rsidR="002C144B">
        <w:t>die diesb</w:t>
      </w:r>
      <w:r w:rsidR="002C144B">
        <w:t>e</w:t>
      </w:r>
      <w:r w:rsidR="002C144B">
        <w:t>züglichen Bestrebungen</w:t>
      </w:r>
      <w:r w:rsidR="00BF077D" w:rsidRPr="004B2295">
        <w:t xml:space="preserve"> </w:t>
      </w:r>
      <w:r w:rsidR="002C144B">
        <w:t xml:space="preserve">bei </w:t>
      </w:r>
      <w:r w:rsidR="00BF077D" w:rsidRPr="004B2295">
        <w:t>der Konsensfindung privater Verbände wie DKE/VDE zur Positionierung im Rahmen der Konsultationen der BNetzA zu Protokollen und Marktstandards des Smart</w:t>
      </w:r>
      <w:r w:rsidR="00F346A3">
        <w:t xml:space="preserve"> </w:t>
      </w:r>
      <w:r w:rsidR="00BF077D" w:rsidRPr="004B2295">
        <w:t xml:space="preserve">Grid, weisen die dortigen Verfahrensgestaltungen auf die Wahl </w:t>
      </w:r>
      <w:r w:rsidR="00BF077D" w:rsidRPr="004B2295">
        <w:rPr>
          <w:b/>
          <w:i/>
        </w:rPr>
        <w:t>moderner Verfahrensstufungen</w:t>
      </w:r>
      <w:r w:rsidR="00BF077D" w:rsidRPr="004B2295">
        <w:t xml:space="preserve"> und selbstregulativer Instrumente, wie sie im Bereich der privaten Standardisi</w:t>
      </w:r>
      <w:r w:rsidR="00BF077D" w:rsidRPr="004B2295">
        <w:t>e</w:t>
      </w:r>
      <w:r w:rsidR="00BF077D" w:rsidRPr="004B2295">
        <w:t xml:space="preserve">rung komplexer IKT </w:t>
      </w:r>
      <w:r w:rsidR="00654A1C">
        <w:t xml:space="preserve">Usus </w:t>
      </w:r>
      <w:r w:rsidR="00BF077D" w:rsidRPr="004B2295">
        <w:t>sind.</w:t>
      </w:r>
      <w:r w:rsidR="006D171B">
        <w:t xml:space="preserve"> </w:t>
      </w:r>
      <w:r w:rsidR="00BF077D" w:rsidRPr="004B2295">
        <w:t>Auch wenn aus Gründen der Ressource</w:t>
      </w:r>
      <w:r w:rsidR="00BF077D" w:rsidRPr="004B2295">
        <w:t>n</w:t>
      </w:r>
      <w:r w:rsidR="00BF077D" w:rsidRPr="004B2295">
        <w:t>knappheit eine Verlagerung der dort bestehenden Mechanismen zu Ko</w:t>
      </w:r>
      <w:r w:rsidR="00BF077D" w:rsidRPr="004B2295">
        <w:t>n</w:t>
      </w:r>
      <w:r w:rsidR="00BF077D" w:rsidRPr="004B2295">
        <w:t>sensbildung und Persistierung von Wissen in den privaten Bereich bislang nachvollziehbar war</w:t>
      </w:r>
      <w:r w:rsidR="00654A1C">
        <w:t>,</w:t>
      </w:r>
      <w:r w:rsidR="00BF077D" w:rsidRPr="004B2295">
        <w:rPr>
          <w:vertAlign w:val="superscript"/>
        </w:rPr>
        <w:footnoteReference w:id="127"/>
      </w:r>
      <w:r w:rsidR="00BD0633">
        <w:t xml:space="preserve"> ist vor dem Hintergrund der Anreicherung</w:t>
      </w:r>
      <w:r w:rsidR="00BF077D" w:rsidRPr="004B2295">
        <w:t xml:space="preserve"> des Ve</w:t>
      </w:r>
      <w:r w:rsidR="00BF077D" w:rsidRPr="004B2295">
        <w:t>r</w:t>
      </w:r>
      <w:r w:rsidR="00BF077D" w:rsidRPr="004B2295">
        <w:t>fahrens zur Sicherung der informatio</w:t>
      </w:r>
      <w:r w:rsidR="00654A1C">
        <w:t>nellen Selbstbestimmung und der</w:t>
      </w:r>
      <w:r w:rsidR="00BF077D" w:rsidRPr="004B2295">
        <w:t xml:space="preserve"> oben erarbeitete</w:t>
      </w:r>
      <w:r w:rsidR="00654A1C">
        <w:t>n</w:t>
      </w:r>
      <w:r w:rsidR="00BF077D" w:rsidRPr="004B2295">
        <w:t xml:space="preserve"> Verortung des Smart</w:t>
      </w:r>
      <w:r w:rsidR="00F346A3">
        <w:t xml:space="preserve"> </w:t>
      </w:r>
      <w:r w:rsidR="00BF077D" w:rsidRPr="004B2295">
        <w:t>Grid als doppelte kritische Infrastruktur eine derartige Privatisierung zukünftig nicht angemessen, da es sich bei dem Verfahren um eine Kompensation originärer staatlicher materieller Schut</w:t>
      </w:r>
      <w:r w:rsidR="00BF077D" w:rsidRPr="004B2295">
        <w:t>z</w:t>
      </w:r>
      <w:r w:rsidR="00BF077D" w:rsidRPr="004B2295">
        <w:t>mechanismen im Rahmen der Gewährleistungsverantwortung handelt.</w:t>
      </w:r>
      <w:r w:rsidR="00BF077D" w:rsidRPr="004B2295">
        <w:rPr>
          <w:vertAlign w:val="superscript"/>
        </w:rPr>
        <w:footnoteReference w:id="128"/>
      </w:r>
      <w:r w:rsidR="00654A1C">
        <w:t xml:space="preserve"> </w:t>
      </w:r>
      <w:r w:rsidR="00BF077D" w:rsidRPr="004B2295">
        <w:t>A</w:t>
      </w:r>
      <w:r w:rsidR="00BF077D" w:rsidRPr="004B2295">
        <w:t>n</w:t>
      </w:r>
      <w:r w:rsidR="00BF077D" w:rsidRPr="004B2295">
        <w:t>hand zweier Beispiele aus dem Bereich der bislang nicht förmlichen Koop</w:t>
      </w:r>
      <w:r w:rsidR="00BF077D" w:rsidRPr="004B2295">
        <w:t>e</w:t>
      </w:r>
      <w:r w:rsidR="00BF077D" w:rsidRPr="004B2295">
        <w:t>rationsverfahren zur IT-Sicherheit und zum Datenschutz im Smart</w:t>
      </w:r>
      <w:r w:rsidR="00F346A3">
        <w:t xml:space="preserve"> </w:t>
      </w:r>
      <w:r w:rsidR="00654A1C">
        <w:t xml:space="preserve">Grid </w:t>
      </w:r>
      <w:r w:rsidR="00BF077D" w:rsidRPr="004B2295">
        <w:t xml:space="preserve">sollen moderne Verfahrenselemente gezeigt werden, die den Aspekt der Nutzung des „Plans“ für die Darstellung und Abwägung von funktionalen </w:t>
      </w:r>
      <w:r w:rsidR="00BF077D" w:rsidRPr="004B2295">
        <w:lastRenderedPageBreak/>
        <w:t>und nichtfunktionalen IKT-Artefakten, seiner symbolischen Grundlagen und den modernen Verfahrensstufungen in nicht förmlichen Aktivitäten auße</w:t>
      </w:r>
      <w:r w:rsidR="00BF077D" w:rsidRPr="004B2295">
        <w:t>r</w:t>
      </w:r>
      <w:r w:rsidR="00BF077D" w:rsidRPr="004B2295">
        <w:t>halb der bestehenden Festlegungsverfahren illustrieren.</w:t>
      </w:r>
    </w:p>
    <w:p w:rsidR="00BF077D" w:rsidRPr="004B2295" w:rsidRDefault="00BF077D" w:rsidP="00F91B0D">
      <w:pPr>
        <w:pStyle w:val="berschrift2"/>
        <w:numPr>
          <w:ilvl w:val="0"/>
          <w:numId w:val="69"/>
        </w:numPr>
        <w:ind w:left="851" w:hanging="624"/>
      </w:pPr>
      <w:bookmarkStart w:id="99" w:name="_Toc490827498"/>
      <w:bookmarkStart w:id="100" w:name="_Toc491418259"/>
      <w:r w:rsidRPr="004B2295">
        <w:t>Beispiel: IT-Sicherheit im Smart Grid</w:t>
      </w:r>
      <w:bookmarkEnd w:id="99"/>
      <w:bookmarkEnd w:id="100"/>
      <w:r w:rsidRPr="004B2295">
        <w:t xml:space="preserve"> </w:t>
      </w:r>
    </w:p>
    <w:p w:rsidR="00BF077D" w:rsidRDefault="00BF077D" w:rsidP="006E7507">
      <w:r w:rsidRPr="004B2295">
        <w:t>Im März 2011 erteilte die Europäische Kommission und die Europäische Freihandelsassoziation (EFTA) das Smart Grid Mandat M/490, welches im Juni 2011 von den drei europäischen Standardisierungsorganisationen (ESOs), CEN, CENELEC und ETSI angenommen wurde. Der damit ve</w:t>
      </w:r>
      <w:r w:rsidRPr="004B2295">
        <w:t>r</w:t>
      </w:r>
      <w:r w:rsidRPr="004B2295">
        <w:t>bundene Auftrag an CEN, CENELEC und ETSI bestand darin, ein Ra</w:t>
      </w:r>
      <w:r w:rsidRPr="004B2295">
        <w:t>h</w:t>
      </w:r>
      <w:r w:rsidRPr="004B2295">
        <w:t xml:space="preserve">menwerk zu entwickeln, um die kontinuierliche Weiterentwicklung der relevanten Normen und Standards im </w:t>
      </w:r>
      <w:r w:rsidR="00654A1C">
        <w:t>Umfeld des Smart Grid</w:t>
      </w:r>
      <w:r w:rsidRPr="004B2295">
        <w:t xml:space="preserve"> zu ermögl</w:t>
      </w:r>
      <w:r w:rsidRPr="004B2295">
        <w:t>i</w:t>
      </w:r>
      <w:r w:rsidRPr="004B2295">
        <w:t xml:space="preserve">chen. Hauptaspekte des Mandats sind unter anderem die </w:t>
      </w:r>
      <w:r w:rsidRPr="004B2295">
        <w:rPr>
          <w:b/>
          <w:i/>
        </w:rPr>
        <w:t>Informationss</w:t>
      </w:r>
      <w:r w:rsidRPr="004B2295">
        <w:rPr>
          <w:b/>
          <w:i/>
        </w:rPr>
        <w:t>i</w:t>
      </w:r>
      <w:r w:rsidRPr="004B2295">
        <w:rPr>
          <w:b/>
          <w:i/>
        </w:rPr>
        <w:t>cherheit im Smart Grid</w:t>
      </w:r>
      <w:r w:rsidRPr="004B2295">
        <w:t>.</w:t>
      </w:r>
      <w:r w:rsidR="006D171B">
        <w:t xml:space="preserve"> </w:t>
      </w:r>
      <w:r w:rsidRPr="004B2295">
        <w:t>Um diese Aufgabe zu bearbeiten, haben die ESOs ihre strategischen Ansätze kombiniert und im Juli 2011 zusammen mit den relevanten Ak</w:t>
      </w:r>
      <w:r w:rsidR="00BD0633">
        <w:t>teu</w:t>
      </w:r>
      <w:r w:rsidRPr="004B2295">
        <w:t xml:space="preserve">ren der Privatwirtschaft die CEN-CENELEC-ETSI </w:t>
      </w:r>
      <w:r w:rsidRPr="004B2295">
        <w:rPr>
          <w:b/>
          <w:i/>
        </w:rPr>
        <w:t>Smart Grid Coordination Group</w:t>
      </w:r>
      <w:r w:rsidRPr="004B2295">
        <w:t xml:space="preserve"> (SG-CG) ins Leben gerufen.</w:t>
      </w:r>
      <w:r w:rsidR="006D171B">
        <w:t xml:space="preserve"> </w:t>
      </w:r>
      <w:r w:rsidRPr="004B2295">
        <w:t xml:space="preserve">Ende 2012 wurde das Mandat M/490 bis zum Jahre 2014 </w:t>
      </w:r>
      <w:r w:rsidR="00BD0633" w:rsidRPr="004B2295">
        <w:t>mit dem Ziel einer Feinabstimmung und weite</w:t>
      </w:r>
      <w:r w:rsidR="00BD0633">
        <w:t>rer</w:t>
      </w:r>
      <w:r w:rsidR="00BD0633" w:rsidRPr="004B2295">
        <w:t xml:space="preserve"> Detaillierung der Ergebnisse </w:t>
      </w:r>
      <w:r w:rsidRPr="004B2295">
        <w:t>verlän</w:t>
      </w:r>
      <w:r w:rsidR="00BD0633">
        <w:t>gert.</w:t>
      </w:r>
      <w:r w:rsidRPr="004B2295">
        <w:t xml:space="preserve"> Die Resultate wurden im Dezember 2014 den Technical Boards von CEN, CENELEC und ETSI übergeben. Die Informationssicherheit spielte innerhalb des M/490 eine zentrale Rolle. Die „Smart Grid Information Security (SGIS)“ Gruppe b</w:t>
      </w:r>
      <w:r w:rsidRPr="004B2295">
        <w:t>e</w:t>
      </w:r>
      <w:r w:rsidRPr="004B2295">
        <w:t>schreibt in ihrem Abschlussbericht, wie Security S</w:t>
      </w:r>
      <w:r w:rsidR="00654A1C">
        <w:t>tandards dazu beitragen, ein dezid</w:t>
      </w:r>
      <w:r w:rsidRPr="004B2295">
        <w:t xml:space="preserve">iertes Sicherheitsniveau auf technischer, organisatorischer und prozesstechnischer Ebene im Smart Grid zu erreichen. Ziel des Mandates war es </w:t>
      </w:r>
      <w:r w:rsidRPr="004B2295">
        <w:rPr>
          <w:b/>
          <w:i/>
        </w:rPr>
        <w:t>nichtförmliche Leitlinien</w:t>
      </w:r>
      <w:r w:rsidR="00654A1C">
        <w:t xml:space="preserve"> für System-Designer, Betreiber sowie</w:t>
      </w:r>
      <w:r w:rsidRPr="004B2295">
        <w:t xml:space="preserve"> Entwickler von Smart</w:t>
      </w:r>
      <w:r w:rsidR="00F346A3">
        <w:t xml:space="preserve"> </w:t>
      </w:r>
      <w:r w:rsidRPr="004B2295">
        <w:t>Grid</w:t>
      </w:r>
      <w:r w:rsidR="006D171B">
        <w:t xml:space="preserve"> </w:t>
      </w:r>
      <w:r w:rsidRPr="004B2295">
        <w:t>Infrastrukturen zu entwickeln.</w:t>
      </w:r>
      <w:r w:rsidR="000D0CE0">
        <w:t xml:space="preserve"> </w:t>
      </w:r>
      <w:r w:rsidRPr="004B2295">
        <w:t>Für den Unters</w:t>
      </w:r>
      <w:r w:rsidRPr="004B2295">
        <w:t>u</w:t>
      </w:r>
      <w:r w:rsidRPr="004B2295">
        <w:t xml:space="preserve">chungsgegenstand ist die </w:t>
      </w:r>
      <w:r w:rsidRPr="004B2295">
        <w:rPr>
          <w:b/>
          <w:i/>
        </w:rPr>
        <w:t>Verfahrensstufung</w:t>
      </w:r>
      <w:r w:rsidRPr="004B2295">
        <w:t xml:space="preserve"> in diesem rein selbstregulat</w:t>
      </w:r>
      <w:r w:rsidRPr="004B2295">
        <w:t>i</w:t>
      </w:r>
      <w:r w:rsidRPr="004B2295">
        <w:t>ven Verfahren der IT-Sicherheit</w:t>
      </w:r>
      <w:r w:rsidR="00BD0633">
        <w:t>,</w:t>
      </w:r>
      <w:r w:rsidRPr="004B2295">
        <w:t xml:space="preserve"> wie sie in Abbildung 2 gezeigt wird, </w:t>
      </w:r>
      <w:r w:rsidR="00BD0633">
        <w:t>int</w:t>
      </w:r>
      <w:r w:rsidR="00BD0633">
        <w:t>e</w:t>
      </w:r>
      <w:r w:rsidR="00BD0633">
        <w:t xml:space="preserve">ressant, </w:t>
      </w:r>
      <w:r w:rsidRPr="004B2295">
        <w:t>da die Gruppe eine eigene Methodologie in einem „</w:t>
      </w:r>
      <w:r w:rsidRPr="004B2295">
        <w:rPr>
          <w:i/>
        </w:rPr>
        <w:t xml:space="preserve">User Manual - </w:t>
      </w:r>
      <w:r w:rsidRPr="004B2295">
        <w:rPr>
          <w:i/>
        </w:rPr>
        <w:lastRenderedPageBreak/>
        <w:t>Applying, testing &amp; refining the Smart Grid Architecture Model (SGAM)</w:t>
      </w:r>
      <w:r w:rsidRPr="004B2295">
        <w:t>“</w:t>
      </w:r>
      <w:r w:rsidRPr="004B2295">
        <w:rPr>
          <w:vertAlign w:val="superscript"/>
        </w:rPr>
        <w:t xml:space="preserve"> </w:t>
      </w:r>
      <w:r w:rsidRPr="004B2295">
        <w:rPr>
          <w:vertAlign w:val="superscript"/>
          <w:lang w:val="en-US"/>
        </w:rPr>
        <w:footnoteReference w:id="129"/>
      </w:r>
      <w:r w:rsidRPr="004B2295">
        <w:t xml:space="preserve"> entwickelt hat, die als State-Of-The-Art im Bereich nichtstaatlicher Reguli</w:t>
      </w:r>
      <w:r w:rsidRPr="004B2295">
        <w:t>e</w:t>
      </w:r>
      <w:r w:rsidRPr="004B2295">
        <w:t>rung des Smart</w:t>
      </w:r>
      <w:r w:rsidR="00F346A3">
        <w:t xml:space="preserve"> </w:t>
      </w:r>
      <w:r w:rsidRPr="004B2295">
        <w:t>Grid angesehen werden kann.</w:t>
      </w:r>
      <w:r w:rsidR="00A74219">
        <w:t xml:space="preserve"> </w:t>
      </w:r>
      <w:r w:rsidR="00BD0633">
        <w:t>Diese</w:t>
      </w:r>
      <w:r w:rsidRPr="004B2295">
        <w:t xml:space="preserve"> Methodologie </w:t>
      </w:r>
      <w:r w:rsidR="00BD0633">
        <w:t>ermö</w:t>
      </w:r>
      <w:r w:rsidR="00BD0633">
        <w:t>g</w:t>
      </w:r>
      <w:r w:rsidR="00BD0633">
        <w:t xml:space="preserve">licht </w:t>
      </w:r>
      <w:r w:rsidRPr="004B2295">
        <w:t xml:space="preserve">anhand verschiedener </w:t>
      </w:r>
      <w:r w:rsidRPr="004B2295">
        <w:rPr>
          <w:b/>
          <w:i/>
        </w:rPr>
        <w:t>Use Cases</w:t>
      </w:r>
      <w:r w:rsidR="008074A0">
        <w:rPr>
          <w:rStyle w:val="Funotenzeichen"/>
          <w:b/>
          <w:i/>
        </w:rPr>
        <w:footnoteReference w:id="130"/>
      </w:r>
      <w:r w:rsidR="00BD0633">
        <w:rPr>
          <w:b/>
          <w:i/>
        </w:rPr>
        <w:t>,</w:t>
      </w:r>
      <w:r w:rsidRPr="004B2295">
        <w:t xml:space="preserve"> </w:t>
      </w:r>
      <w:r w:rsidR="00BD0633">
        <w:t xml:space="preserve">welche </w:t>
      </w:r>
      <w:r w:rsidR="00BD0633" w:rsidRPr="004B2295">
        <w:t>aus den verschiedenen Sic</w:t>
      </w:r>
      <w:r w:rsidR="00BD0633" w:rsidRPr="004B2295">
        <w:t>h</w:t>
      </w:r>
      <w:r w:rsidR="00BD0633" w:rsidRPr="004B2295">
        <w:t>ten der relevanten Akteure zum Sach- und</w:t>
      </w:r>
      <w:r w:rsidR="00BD0633">
        <w:t xml:space="preserve"> Normwissen entwickelt und </w:t>
      </w:r>
      <w:r w:rsidRPr="004B2295">
        <w:t>in einem Use</w:t>
      </w:r>
      <w:r w:rsidR="00075777">
        <w:t>-</w:t>
      </w:r>
      <w:r w:rsidRPr="004B2295">
        <w:t>Case-Rep</w:t>
      </w:r>
      <w:r w:rsidR="00075777">
        <w:t>o</w:t>
      </w:r>
      <w:r w:rsidRPr="004B2295">
        <w:t xml:space="preserve">sitory gespeichert </w:t>
      </w:r>
      <w:r w:rsidR="00BD0633">
        <w:t xml:space="preserve">werden, </w:t>
      </w:r>
      <w:r w:rsidRPr="004B2295">
        <w:t>eine systematisch</w:t>
      </w:r>
      <w:r w:rsidR="00BD0633">
        <w:t>e</w:t>
      </w:r>
      <w:r w:rsidRPr="004B2295">
        <w:t xml:space="preserve"> Able</w:t>
      </w:r>
      <w:r w:rsidRPr="004B2295">
        <w:t>i</w:t>
      </w:r>
      <w:r w:rsidR="00BD0633">
        <w:t>tung des Schutzbedarfs</w:t>
      </w:r>
      <w:r w:rsidRPr="004B2295">
        <w:t xml:space="preserve"> aus den verschiedenen Blickwinkeln.</w:t>
      </w:r>
      <w:r w:rsidR="00A74219">
        <w:t xml:space="preserve"> </w:t>
      </w:r>
      <w:r w:rsidRPr="004B2295">
        <w:t xml:space="preserve">Dies geschieht systematisch auf Basis des </w:t>
      </w:r>
      <w:r w:rsidRPr="004B2295">
        <w:rPr>
          <w:b/>
          <w:i/>
        </w:rPr>
        <w:t>Smart Grid Architecture Model</w:t>
      </w:r>
      <w:r w:rsidRPr="004B2295">
        <w:t xml:space="preserve"> (SGAM) als Referenzmodell, welches durch die bildhafte Darstellung der verschiedenen Domänen, Zonen und Schichten des Energiesystems eine erhöhte Interop</w:t>
      </w:r>
      <w:r w:rsidRPr="004B2295">
        <w:t>e</w:t>
      </w:r>
      <w:r w:rsidRPr="004B2295">
        <w:t>rabilität zwischen den relevanten Sichten generieren soll.</w:t>
      </w:r>
    </w:p>
    <w:p w:rsidR="00F91B0D" w:rsidRDefault="000D0CE0" w:rsidP="00F91B0D">
      <w:pPr>
        <w:pStyle w:val="Abbildung"/>
        <w:rPr>
          <w:b/>
        </w:rPr>
      </w:pPr>
      <w:r>
        <w:lastRenderedPageBreak/>
        <w:drawing>
          <wp:inline distT="0" distB="0" distL="0" distR="0" wp14:anchorId="5C278F1F" wp14:editId="74AA7911">
            <wp:extent cx="5427784" cy="3652732"/>
            <wp:effectExtent l="19050" t="19050" r="20955" b="2413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a:ext>
                      </a:extLst>
                    </a:blip>
                    <a:srcRect l="10811" t="15737" r="15655" b="5089"/>
                    <a:stretch/>
                  </pic:blipFill>
                  <pic:spPr bwMode="auto">
                    <a:xfrm>
                      <a:off x="0" y="0"/>
                      <a:ext cx="5457506" cy="3672734"/>
                    </a:xfrm>
                    <a:prstGeom prst="rect">
                      <a:avLst/>
                    </a:prstGeom>
                    <a:ln w="6350" cap="sq">
                      <a:solidFill>
                        <a:srgbClr val="000000"/>
                      </a:solidFill>
                      <a:prstDash val="solid"/>
                      <a:miter lim="800000"/>
                    </a:ln>
                    <a:effectLst/>
                    <a:extLst>
                      <a:ext uri="{53640926-AAD7-44D8-BBD7-CCE9431645EC}">
                        <a14:shadowObscured xmlns:a14="http://schemas.microsoft.com/office/drawing/2010/main"/>
                      </a:ext>
                    </a:extLst>
                  </pic:spPr>
                </pic:pic>
              </a:graphicData>
            </a:graphic>
          </wp:inline>
        </w:drawing>
      </w:r>
    </w:p>
    <w:p w:rsidR="000D0CE0" w:rsidRPr="004B2295" w:rsidRDefault="000D0CE0" w:rsidP="00F91B0D">
      <w:pPr>
        <w:pStyle w:val="Bildunterschrift"/>
      </w:pPr>
      <w:r w:rsidRPr="00A74219">
        <w:rPr>
          <w:b/>
        </w:rPr>
        <w:t xml:space="preserve">Abbildung </w:t>
      </w:r>
      <w:r w:rsidRPr="00A74219">
        <w:rPr>
          <w:b/>
        </w:rPr>
        <w:fldChar w:fldCharType="begin"/>
      </w:r>
      <w:r w:rsidRPr="00A74219">
        <w:rPr>
          <w:b/>
        </w:rPr>
        <w:instrText xml:space="preserve"> SEQ Abbildung \* ARABIC </w:instrText>
      </w:r>
      <w:r w:rsidRPr="00A74219">
        <w:rPr>
          <w:b/>
        </w:rPr>
        <w:fldChar w:fldCharType="separate"/>
      </w:r>
      <w:r w:rsidR="00391ED7">
        <w:rPr>
          <w:b/>
          <w:noProof/>
        </w:rPr>
        <w:t>2</w:t>
      </w:r>
      <w:r w:rsidRPr="00A74219">
        <w:rPr>
          <w:b/>
          <w:noProof/>
        </w:rPr>
        <w:fldChar w:fldCharType="end"/>
      </w:r>
      <w:r w:rsidRPr="00A74219">
        <w:rPr>
          <w:b/>
        </w:rPr>
        <w:t>:</w:t>
      </w:r>
      <w:r w:rsidRPr="00A74219">
        <w:t xml:space="preserve"> Standardisierungsprozess im Mandat 490 </w:t>
      </w:r>
      <w:r w:rsidRPr="00A74219">
        <w:rPr>
          <w:vertAlign w:val="superscript"/>
        </w:rPr>
        <w:footnoteReference w:id="131"/>
      </w:r>
    </w:p>
    <w:p w:rsidR="00BF077D" w:rsidRPr="004B2295" w:rsidRDefault="00BF077D" w:rsidP="006E7507">
      <w:r w:rsidRPr="004B2295">
        <w:t xml:space="preserve">Aus diesen Befunden werden </w:t>
      </w:r>
      <w:r w:rsidR="00BD0633">
        <w:t xml:space="preserve">anschließend </w:t>
      </w:r>
      <w:r w:rsidRPr="004B2295">
        <w:t xml:space="preserve">die </w:t>
      </w:r>
      <w:r w:rsidRPr="004B2295">
        <w:rPr>
          <w:b/>
          <w:i/>
        </w:rPr>
        <w:t>SGIS Security Levels</w:t>
      </w:r>
      <w:r w:rsidRPr="004B2295">
        <w:t xml:space="preserve"> (SGIS-SL) abgelei</w:t>
      </w:r>
      <w:r w:rsidR="00BD0633">
        <w:t>tet, welche</w:t>
      </w:r>
      <w:r w:rsidRPr="004B2295">
        <w:t xml:space="preserve"> verschiedene technisch wirksame Maßnahmen auf Basis der Klassifikation von Teilprozessen der Datenverwendung darlegen.</w:t>
      </w:r>
      <w:r w:rsidR="006D171B">
        <w:t xml:space="preserve"> </w:t>
      </w:r>
      <w:r w:rsidR="00BD0633">
        <w:t>A</w:t>
      </w:r>
      <w:r w:rsidRPr="004B2295">
        <w:t xml:space="preserve">bschließend </w:t>
      </w:r>
      <w:r w:rsidR="00BD0633">
        <w:t xml:space="preserve">findet </w:t>
      </w:r>
      <w:r w:rsidRPr="004B2295">
        <w:t xml:space="preserve">eine nichtförmliche </w:t>
      </w:r>
      <w:r w:rsidRPr="004B2295">
        <w:rPr>
          <w:b/>
          <w:i/>
        </w:rPr>
        <w:t>Empfehlung auf Basis des SGAM</w:t>
      </w:r>
      <w:r w:rsidRPr="004B2295">
        <w:t xml:space="preserve"> statt</w:t>
      </w:r>
      <w:r w:rsidR="008074A0">
        <w:t>, welche</w:t>
      </w:r>
      <w:r w:rsidRPr="004B2295">
        <w:t xml:space="preserve"> die Teilprozesse</w:t>
      </w:r>
      <w:r w:rsidR="008074A0">
        <w:t xml:space="preserve"> einem Sicherheitslevel zuordnet</w:t>
      </w:r>
      <w:r w:rsidRPr="004B2295">
        <w:t>. Das “Eur</w:t>
      </w:r>
      <w:r w:rsidRPr="004B2295">
        <w:t>o</w:t>
      </w:r>
      <w:r w:rsidRPr="004B2295">
        <w:t xml:space="preserve">pean Set of Recommendation“ </w:t>
      </w:r>
      <w:r w:rsidR="008074A0">
        <w:t xml:space="preserve">stellt damit </w:t>
      </w:r>
      <w:r w:rsidRPr="004B2295">
        <w:t xml:space="preserve">eine Menge an nichtförmlichen Empfehlungen </w:t>
      </w:r>
      <w:r w:rsidR="008074A0">
        <w:t xml:space="preserve">für </w:t>
      </w:r>
      <w:r w:rsidRPr="004B2295">
        <w:t>Sicherheitsmaßnahmen für Smart Grid Akteure</w:t>
      </w:r>
      <w:r w:rsidR="008074A0">
        <w:t xml:space="preserve"> dar</w:t>
      </w:r>
      <w:r w:rsidRPr="004B2295">
        <w:t>.</w:t>
      </w:r>
    </w:p>
    <w:p w:rsidR="00BF077D" w:rsidRPr="004B2295" w:rsidRDefault="00BF077D" w:rsidP="006E7507">
      <w:r w:rsidRPr="004B2295">
        <w:t>Auch wenn sich die Methodologie dieses Vorgehens einer förmlichen Stru</w:t>
      </w:r>
      <w:r w:rsidRPr="004B2295">
        <w:t>k</w:t>
      </w:r>
      <w:r w:rsidRPr="004B2295">
        <w:t xml:space="preserve">tur von materiellen Abwägungsbelangen und konkreten Gewichtungen, wie </w:t>
      </w:r>
      <w:r w:rsidRPr="004B2295">
        <w:lastRenderedPageBreak/>
        <w:t>sie z.B. im Konditionalprogramm des Bauplanungsrechts vorliegen</w:t>
      </w:r>
      <w:r w:rsidRPr="004B2295">
        <w:rPr>
          <w:vertAlign w:val="superscript"/>
        </w:rPr>
        <w:footnoteReference w:id="132"/>
      </w:r>
      <w:r w:rsidRPr="004B2295">
        <w:t>, enthält und mit der Beschränkung auf die Zielvorgabe „Informationssicherheit“ nur einen geringen Ausschnitt der möglichen (widerstreitenden) Interessen spi</w:t>
      </w:r>
      <w:r w:rsidRPr="004B2295">
        <w:t>e</w:t>
      </w:r>
      <w:r w:rsidRPr="004B2295">
        <w:t>gelt, so ist die Kombination aus der textuellen Beschreibung von Use</w:t>
      </w:r>
      <w:r w:rsidR="00075777">
        <w:t xml:space="preserve"> </w:t>
      </w:r>
      <w:r w:rsidRPr="004B2295">
        <w:t>Cases</w:t>
      </w:r>
      <w:r w:rsidR="00075777">
        <w:t xml:space="preserve">, </w:t>
      </w:r>
      <w:r w:rsidRPr="004B2295">
        <w:t>die Persistierung in einem zentralen Repository und die grundlegende I</w:t>
      </w:r>
      <w:r w:rsidRPr="004B2295">
        <w:t>n</w:t>
      </w:r>
      <w:r w:rsidRPr="004B2295">
        <w:t>tegration der bildhaften Darstellung der Schichtensystematik des Smart</w:t>
      </w:r>
      <w:r w:rsidR="00F346A3">
        <w:t xml:space="preserve"> </w:t>
      </w:r>
      <w:r w:rsidRPr="004B2295">
        <w:t>Grid auf Basis des SGAM-Referenzmodells eine sinnvolle systematische Stufung der notwendigen Lernschritte zu technikwirksamen Normierungsschritten. Allerdings ist festzuhalten, dass die normative Entscheidung zu den konkr</w:t>
      </w:r>
      <w:r w:rsidRPr="004B2295">
        <w:t>e</w:t>
      </w:r>
      <w:r w:rsidRPr="004B2295">
        <w:t>ten Sicherheitsleveln (S</w:t>
      </w:r>
      <w:r w:rsidR="00075777">
        <w:t xml:space="preserve">GIS) </w:t>
      </w:r>
      <w:r w:rsidRPr="004B2295">
        <w:t>einem metrischen Modell</w:t>
      </w:r>
      <w:r w:rsidR="00075777">
        <w:t xml:space="preserve"> der klassischen IT-Sicherheit </w:t>
      </w:r>
      <w:r w:rsidRPr="004B2295">
        <w:t>entspringt um eine Quantifizierung von Risiken zu ermöglichen. Ob dieses Entscheidungsmodell der Quantifizierung auch für Aspekte des Schutzes der informationellen Selbstbestimmung angemessen ist, muss an dieser Stelle dahinstehen.</w:t>
      </w:r>
    </w:p>
    <w:p w:rsidR="00BF077D" w:rsidRPr="004B2295" w:rsidRDefault="00BF077D" w:rsidP="00F91B0D">
      <w:pPr>
        <w:pStyle w:val="berschrift2"/>
        <w:ind w:left="851" w:hanging="511"/>
      </w:pPr>
      <w:bookmarkStart w:id="101" w:name="_Ref341181888"/>
      <w:bookmarkStart w:id="102" w:name="_Toc490827499"/>
      <w:bookmarkStart w:id="103" w:name="_Toc491418260"/>
      <w:r w:rsidRPr="004B2295">
        <w:t>Beispiel: Orientierungshilfe datenschutzgerechtes Smart</w:t>
      </w:r>
      <w:r w:rsidR="00F91B0D">
        <w:t xml:space="preserve"> </w:t>
      </w:r>
      <w:r w:rsidRPr="004B2295">
        <w:t>Metering</w:t>
      </w:r>
      <w:bookmarkEnd w:id="101"/>
      <w:bookmarkEnd w:id="102"/>
      <w:bookmarkEnd w:id="103"/>
    </w:p>
    <w:p w:rsidR="004F4C7B" w:rsidRDefault="008074A0" w:rsidP="00BF077D">
      <w:pPr>
        <w:rPr>
          <w:w w:val="99"/>
        </w:rPr>
      </w:pPr>
      <w:r>
        <w:t>D</w:t>
      </w:r>
      <w:r w:rsidR="00BF077D" w:rsidRPr="004B2295">
        <w:t xml:space="preserve">ie formale Basierung von spezifischen datenschutzrechtlichen Sichten auf IT-Prozesse im Energiemarkt </w:t>
      </w:r>
      <w:r>
        <w:t xml:space="preserve">ist </w:t>
      </w:r>
      <w:r w:rsidR="00BF077D" w:rsidRPr="004B2295">
        <w:t>schon heute eine geübte Praxis bei den Daten</w:t>
      </w:r>
      <w:r w:rsidR="00075777">
        <w:t xml:space="preserve">schutzaufsichtsbehörden. Wie in </w:t>
      </w:r>
      <w:r w:rsidR="00BF077D" w:rsidRPr="004B2295">
        <w:fldChar w:fldCharType="begin"/>
      </w:r>
      <w:r w:rsidR="00BF077D" w:rsidRPr="004B2295">
        <w:instrText xml:space="preserve"> REF _Ref467507967 \h </w:instrText>
      </w:r>
      <w:r w:rsidR="00141AF5" w:rsidRPr="004B2295">
        <w:instrText xml:space="preserve"> \* MERGEFORMAT </w:instrText>
      </w:r>
      <w:r w:rsidR="00BF077D" w:rsidRPr="004B2295">
        <w:fldChar w:fldCharType="separate"/>
      </w:r>
      <w:r w:rsidR="00391ED7">
        <w:t xml:space="preserve">Tabelle </w:t>
      </w:r>
      <w:r w:rsidR="00391ED7">
        <w:rPr>
          <w:noProof/>
        </w:rPr>
        <w:t>1</w:t>
      </w:r>
      <w:r w:rsidR="00391ED7" w:rsidRPr="00391ED7">
        <w:t>:</w:t>
      </w:r>
      <w:r w:rsidR="00391ED7" w:rsidRPr="00391ED7">
        <w:rPr>
          <w:b/>
          <w:bCs/>
          <w:szCs w:val="24"/>
        </w:rPr>
        <w:t xml:space="preserve"> </w:t>
      </w:r>
      <w:r w:rsidR="00391ED7" w:rsidRPr="00391ED7">
        <w:rPr>
          <w:bCs/>
          <w:i/>
          <w:szCs w:val="24"/>
        </w:rPr>
        <w:t>Beispiel Use Case „Bee</w:t>
      </w:r>
      <w:r w:rsidR="00391ED7" w:rsidRPr="00391ED7">
        <w:rPr>
          <w:bCs/>
          <w:i/>
          <w:szCs w:val="24"/>
        </w:rPr>
        <w:t>n</w:t>
      </w:r>
      <w:r w:rsidR="00391ED7" w:rsidRPr="00391ED7">
        <w:rPr>
          <w:bCs/>
          <w:i/>
          <w:szCs w:val="24"/>
        </w:rPr>
        <w:t>digung der Energieversorgung</w:t>
      </w:r>
      <w:r w:rsidR="00391ED7" w:rsidRPr="00391ED7">
        <w:rPr>
          <w:bCs/>
          <w:i/>
          <w:sz w:val="23"/>
          <w:szCs w:val="23"/>
        </w:rPr>
        <w:t>“</w:t>
      </w:r>
      <w:r w:rsidR="00BF077D" w:rsidRPr="004B2295">
        <w:fldChar w:fldCharType="end"/>
      </w:r>
      <w:r>
        <w:t>“</w:t>
      </w:r>
      <w:r w:rsidR="00BF077D" w:rsidRPr="004B2295">
        <w:t xml:space="preserve"> gezeigt, bezieht sich die Bewertung des Datenschutzbedarfes auf konkrete Maßnahmen der Datensicherheit</w:t>
      </w:r>
      <w:r w:rsidR="00075777">
        <w:t>,</w:t>
      </w:r>
      <w:r w:rsidR="00BF077D" w:rsidRPr="004B2295">
        <w:t xml:space="preserve"> die </w:t>
      </w:r>
      <w:r w:rsidR="00BF077D" w:rsidRPr="004248C3">
        <w:rPr>
          <w:w w:val="99"/>
        </w:rPr>
        <w:t>im Prozess der Beendigung der Energieversorgung zu berücksichtigen wären.</w:t>
      </w:r>
    </w:p>
    <w:p w:rsidR="004F4C7B" w:rsidRDefault="004F4C7B">
      <w:pPr>
        <w:spacing w:line="276" w:lineRule="auto"/>
        <w:rPr>
          <w:w w:val="99"/>
        </w:rPr>
      </w:pPr>
      <w:r>
        <w:rPr>
          <w:w w:val="99"/>
        </w:rPr>
        <w:br w:type="page"/>
      </w:r>
    </w:p>
    <w:p w:rsidR="004F4C7B" w:rsidRPr="00A74219" w:rsidRDefault="00766363" w:rsidP="004F4C7B">
      <w:pPr>
        <w:pStyle w:val="Tabellenberschrift"/>
        <w:rPr>
          <w:color w:val="A6A6A6" w:themeColor="background1" w:themeShade="A6"/>
        </w:rPr>
      </w:pPr>
      <w:bookmarkStart w:id="104" w:name="_Ref467507967"/>
      <w:r>
        <w:lastRenderedPageBreak/>
        <w:t>Tabelle 1</w:t>
      </w:r>
      <w:r w:rsidR="004F4C7B" w:rsidRPr="00A74219">
        <w:t xml:space="preserve">: </w:t>
      </w:r>
      <w:r w:rsidR="004F4C7B" w:rsidRPr="004F4C7B">
        <w:rPr>
          <w:b w:val="0"/>
        </w:rPr>
        <w:t>Beispiel Use Case „Beendigung der Energieversorgung“</w:t>
      </w:r>
      <w:bookmarkEnd w:id="104"/>
    </w:p>
    <w:p w:rsidR="004F4C7B" w:rsidRDefault="00A7612A" w:rsidP="00766363">
      <w:pPr>
        <w:rPr>
          <w:noProof/>
          <w:lang w:eastAsia="de-DE"/>
        </w:rPr>
      </w:pPr>
      <w:r w:rsidRPr="00766363">
        <w:drawing>
          <wp:inline distT="0" distB="0" distL="0" distR="0" wp14:anchorId="57FF1755" wp14:editId="702EEA5F">
            <wp:extent cx="5417979" cy="7418070"/>
            <wp:effectExtent l="19050" t="19050" r="11430" b="1143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a:ext>
                      </a:extLst>
                    </a:blip>
                    <a:stretch>
                      <a:fillRect/>
                    </a:stretch>
                  </pic:blipFill>
                  <pic:spPr>
                    <a:xfrm>
                      <a:off x="0" y="0"/>
                      <a:ext cx="5444713" cy="7454673"/>
                    </a:xfrm>
                    <a:prstGeom prst="rect">
                      <a:avLst/>
                    </a:prstGeom>
                    <a:ln w="6350" cap="sq">
                      <a:solidFill>
                        <a:srgbClr val="000000"/>
                      </a:solidFill>
                      <a:prstDash val="solid"/>
                      <a:miter lim="800000"/>
                    </a:ln>
                    <a:effectLst/>
                  </pic:spPr>
                </pic:pic>
              </a:graphicData>
            </a:graphic>
          </wp:inline>
        </w:drawing>
      </w:r>
      <w:r w:rsidR="004F4C7B">
        <w:rPr>
          <w:noProof/>
          <w:lang w:eastAsia="de-DE"/>
        </w:rPr>
        <w:br w:type="page"/>
      </w:r>
    </w:p>
    <w:p w:rsidR="00A74219" w:rsidRDefault="00075777" w:rsidP="00BF077D">
      <w:pPr>
        <w:rPr>
          <w:noProof/>
          <w:lang w:eastAsia="de-DE"/>
        </w:rPr>
      </w:pPr>
      <w:r>
        <w:rPr>
          <w:noProof/>
          <w:lang w:eastAsia="de-DE"/>
        </w:rPr>
        <w:lastRenderedPageBreak/>
        <w:t xml:space="preserve">Mit Blick auf </w:t>
      </w:r>
      <w:r w:rsidR="00BF077D" w:rsidRPr="004B2295">
        <w:rPr>
          <w:noProof/>
          <w:lang w:eastAsia="de-DE"/>
        </w:rPr>
        <w:t>das korrespondierende Prozessmodell</w:t>
      </w:r>
      <w:r w:rsidR="008074A0">
        <w:rPr>
          <w:noProof/>
          <w:lang w:eastAsia="de-DE"/>
        </w:rPr>
        <w:t xml:space="preserve"> der BNetzA zum Prozess Liefer</w:t>
      </w:r>
      <w:r w:rsidR="00BF077D" w:rsidRPr="004B2295">
        <w:rPr>
          <w:noProof/>
          <w:lang w:eastAsia="de-DE"/>
        </w:rPr>
        <w:t>ende zeigt sich die Lücke zwischen diesen Modellen. Das Prozessmodell der BNetzA ist ausschließlich auf funktionale Aspekte des Rollenmodells aus der Perspektive der Marktbedürfnisse des Energie</w:t>
      </w:r>
      <w:r w:rsidR="004248C3">
        <w:rPr>
          <w:noProof/>
          <w:lang w:eastAsia="de-DE"/>
        </w:rPr>
        <w:softHyphen/>
      </w:r>
      <w:r w:rsidR="00BF077D" w:rsidRPr="004B2295">
        <w:rPr>
          <w:noProof/>
          <w:lang w:eastAsia="de-DE"/>
        </w:rPr>
        <w:t>marktes angelegt und implementiert mithin weder datenschutzrechtliche Maßnahmen zur Vefügbarkeit, Vertraulichkeit, Integrität, Transparenz Intervenierbarkeit un</w:t>
      </w:r>
      <w:r w:rsidR="008074A0">
        <w:rPr>
          <w:noProof/>
          <w:lang w:eastAsia="de-DE"/>
        </w:rPr>
        <w:t xml:space="preserve">d Nichtabstreitbarkeit und deren </w:t>
      </w:r>
      <w:r w:rsidR="00BF077D" w:rsidRPr="004B2295">
        <w:rPr>
          <w:noProof/>
          <w:lang w:eastAsia="de-DE"/>
        </w:rPr>
        <w:t>Methoden, noch eventuelle Neben</w:t>
      </w:r>
      <w:r w:rsidR="00A7612A">
        <w:rPr>
          <w:noProof/>
          <w:lang w:eastAsia="de-DE"/>
        </w:rPr>
        <w:t>-</w:t>
      </w:r>
      <w:r w:rsidR="00BF077D" w:rsidRPr="004B2295">
        <w:rPr>
          <w:noProof/>
          <w:lang w:eastAsia="de-DE"/>
        </w:rPr>
        <w:t>läufigkeiten im Informationsfluss.</w:t>
      </w:r>
    </w:p>
    <w:p w:rsidR="00BF077D" w:rsidRPr="004B2295" w:rsidRDefault="00A7612A" w:rsidP="009235F2">
      <w:pPr>
        <w:pStyle w:val="Abbildung"/>
        <w:jc w:val="center"/>
      </w:pPr>
      <w:r w:rsidRPr="00F67180">
        <w:drawing>
          <wp:inline distT="0" distB="0" distL="0" distR="0" wp14:anchorId="3CCFC8D6" wp14:editId="0A589323">
            <wp:extent cx="4456253" cy="3426679"/>
            <wp:effectExtent l="19050" t="19050" r="20955" b="215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4487354" cy="3450594"/>
                    </a:xfrm>
                    <a:prstGeom prst="rect">
                      <a:avLst/>
                    </a:prstGeom>
                    <a:ln w="6350" cap="sq">
                      <a:solidFill>
                        <a:srgbClr val="000000"/>
                      </a:solidFill>
                      <a:prstDash val="solid"/>
                      <a:miter lim="800000"/>
                    </a:ln>
                    <a:effectLst/>
                  </pic:spPr>
                </pic:pic>
              </a:graphicData>
            </a:graphic>
          </wp:inline>
        </w:drawing>
      </w:r>
    </w:p>
    <w:p w:rsidR="00BF077D" w:rsidRPr="00A74219" w:rsidRDefault="00BF077D" w:rsidP="009235F2">
      <w:pPr>
        <w:pStyle w:val="Bildunterschrift"/>
        <w:jc w:val="center"/>
      </w:pPr>
      <w:r w:rsidRPr="00A74219">
        <w:rPr>
          <w:b/>
        </w:rPr>
        <w:t xml:space="preserve">Abbildung </w:t>
      </w:r>
      <w:r w:rsidR="003E5B73">
        <w:rPr>
          <w:b/>
        </w:rPr>
        <w:t>3</w:t>
      </w:r>
      <w:bookmarkStart w:id="105" w:name="_GoBack"/>
      <w:bookmarkEnd w:id="105"/>
      <w:r w:rsidRPr="00A74219">
        <w:rPr>
          <w:b/>
        </w:rPr>
        <w:t xml:space="preserve">: </w:t>
      </w:r>
      <w:r w:rsidR="00B84F66" w:rsidRPr="00A74219">
        <w:t xml:space="preserve">Bildliche Darstellung </w:t>
      </w:r>
      <w:r w:rsidR="00A7612A" w:rsidRPr="00A74219">
        <w:t xml:space="preserve">des </w:t>
      </w:r>
      <w:r w:rsidR="00B84F66" w:rsidRPr="00A74219">
        <w:t>Prozesses“</w:t>
      </w:r>
      <w:r w:rsidRPr="00A74219">
        <w:t xml:space="preserve"> Lieferen</w:t>
      </w:r>
      <w:r w:rsidR="00B84F66" w:rsidRPr="00A74219">
        <w:t>de“</w:t>
      </w:r>
      <w:r w:rsidRPr="00A74219">
        <w:rPr>
          <w:vertAlign w:val="superscript"/>
        </w:rPr>
        <w:footnoteReference w:id="133"/>
      </w:r>
    </w:p>
    <w:p w:rsidR="00BF077D" w:rsidRPr="004B2295" w:rsidRDefault="00075777" w:rsidP="00A74219">
      <w:pPr>
        <w:keepNext/>
        <w:rPr>
          <w:color w:val="A6A6A6" w:themeColor="background1" w:themeShade="A6"/>
        </w:rPr>
      </w:pPr>
      <w:r>
        <w:t>Damit zeigt</w:t>
      </w:r>
      <w:r w:rsidR="00BF077D" w:rsidRPr="004B2295">
        <w:t xml:space="preserve"> sich, dass diese Aktivitäten der beid</w:t>
      </w:r>
      <w:r>
        <w:t>en Behördenstrukturen nicht auf</w:t>
      </w:r>
      <w:r w:rsidR="00BF077D" w:rsidRPr="004B2295">
        <w:t>einander bezogen sind und die Berücksichtigung der datenschutzrechtl</w:t>
      </w:r>
      <w:r w:rsidR="00BF077D" w:rsidRPr="004B2295">
        <w:t>i</w:t>
      </w:r>
      <w:r w:rsidR="00BF077D" w:rsidRPr="004B2295">
        <w:t>chen Obliegenheiten trotz des Vorhandenseins von grundlegenden Modelli</w:t>
      </w:r>
      <w:r w:rsidR="00BF077D" w:rsidRPr="004B2295">
        <w:t>e</w:t>
      </w:r>
      <w:r w:rsidR="00BF077D" w:rsidRPr="004B2295">
        <w:t>rungslogiken kein förmlicher Aspekt der Konsensbildung im Festlegung</w:t>
      </w:r>
      <w:r w:rsidR="00BF077D" w:rsidRPr="004B2295">
        <w:t>s</w:t>
      </w:r>
      <w:r w:rsidR="00BF077D" w:rsidRPr="004B2295">
        <w:t xml:space="preserve">verfahren ist. </w:t>
      </w:r>
    </w:p>
    <w:p w:rsidR="001D4DF8" w:rsidRDefault="001D4DF8" w:rsidP="00F91B0D">
      <w:pPr>
        <w:pStyle w:val="berschrift1"/>
        <w:sectPr w:rsidR="001D4DF8" w:rsidSect="00AC12B6">
          <w:footnotePr>
            <w:numRestart w:val="eachSect"/>
          </w:footnotePr>
          <w:type w:val="oddPage"/>
          <w:pgSz w:w="11906" w:h="16838" w:code="9"/>
          <w:pgMar w:top="2041" w:right="1304" w:bottom="2041" w:left="1985" w:header="1134" w:footer="1134" w:gutter="0"/>
          <w:cols w:space="708"/>
          <w:titlePg/>
          <w:docGrid w:linePitch="360"/>
        </w:sectPr>
      </w:pPr>
      <w:bookmarkStart w:id="106" w:name="_Ref467502037"/>
      <w:bookmarkStart w:id="107" w:name="_Toc490827500"/>
    </w:p>
    <w:p w:rsidR="00DF3387" w:rsidRPr="0001169A" w:rsidRDefault="00AE4B22" w:rsidP="00EF64F5">
      <w:pPr>
        <w:pStyle w:val="berschrift1ohneNummer"/>
      </w:pPr>
      <w:bookmarkStart w:id="108" w:name="_Toc491418261"/>
      <w:bookmarkEnd w:id="106"/>
      <w:bookmarkEnd w:id="107"/>
      <w:r w:rsidRPr="0001169A">
        <w:lastRenderedPageBreak/>
        <w:t>Literaturverzeichnis</w:t>
      </w:r>
      <w:bookmarkEnd w:id="108"/>
    </w:p>
    <w:p w:rsidR="0018100D" w:rsidRPr="00343E9D" w:rsidRDefault="0018100D" w:rsidP="00EF64F5">
      <w:pPr>
        <w:pStyle w:val="Literaturverzeichnis"/>
        <w:rPr>
          <w:lang w:val="en-US"/>
        </w:rPr>
      </w:pPr>
      <w:r w:rsidRPr="00343E9D">
        <w:rPr>
          <w:i/>
          <w:lang w:val="en-US"/>
        </w:rPr>
        <w:t xml:space="preserve">Aamodt, Agnar/Nygård, Mads, </w:t>
      </w:r>
      <w:r w:rsidRPr="00343E9D">
        <w:rPr>
          <w:lang w:val="en-US"/>
        </w:rPr>
        <w:t>Different roles and mutual dependencies of data, information, and knowledge - an AI perspective on their integr</w:t>
      </w:r>
      <w:r w:rsidRPr="00343E9D">
        <w:rPr>
          <w:lang w:val="en-US"/>
        </w:rPr>
        <w:t>a</w:t>
      </w:r>
      <w:r w:rsidRPr="00343E9D">
        <w:rPr>
          <w:lang w:val="en-US"/>
        </w:rPr>
        <w:t>tion, Data and Knowledge Engineering 16, 1995, S. 191ff.</w:t>
      </w:r>
    </w:p>
    <w:p w:rsidR="0018100D" w:rsidRDefault="0018100D" w:rsidP="00EF64F5">
      <w:pPr>
        <w:pStyle w:val="Literaturverzeichnis"/>
      </w:pPr>
      <w:r w:rsidRPr="000F2527">
        <w:rPr>
          <w:i/>
        </w:rPr>
        <w:t xml:space="preserve">Aichele, Christian (Hrsg.) </w:t>
      </w:r>
      <w:r>
        <w:t xml:space="preserve">Smart Energy - </w:t>
      </w:r>
      <w:r w:rsidRPr="000F2527">
        <w:t>Von der reaktiven Kundenverwa</w:t>
      </w:r>
      <w:r w:rsidRPr="000F2527">
        <w:t>l</w:t>
      </w:r>
      <w:r w:rsidRPr="000F2527">
        <w:t>tung zum proaktiven Kundenmanagement, Wiesbaden</w:t>
      </w:r>
      <w:r>
        <w:t>,</w:t>
      </w:r>
      <w:r w:rsidRPr="000F2527">
        <w:t xml:space="preserve"> 2012</w:t>
      </w:r>
      <w:r>
        <w:t xml:space="preserve">. </w:t>
      </w:r>
    </w:p>
    <w:p w:rsidR="0018100D" w:rsidRDefault="0018100D" w:rsidP="00EF64F5">
      <w:pPr>
        <w:pStyle w:val="Literaturverzeichnis"/>
      </w:pPr>
      <w:r w:rsidRPr="00343E9D">
        <w:rPr>
          <w:i/>
        </w:rPr>
        <w:t>Albers, Marion</w:t>
      </w:r>
      <w:r>
        <w:t>,</w:t>
      </w:r>
      <w:r w:rsidR="006D171B">
        <w:t xml:space="preserve"> </w:t>
      </w:r>
      <w:r w:rsidRPr="00343E9D">
        <w:t>Komplexität verfassungsrechtlicher Vorgaben,</w:t>
      </w:r>
      <w:r>
        <w:t xml:space="preserve"> in: </w:t>
      </w:r>
      <w:r w:rsidRPr="00343E9D">
        <w:t>Spiecker gen. Döhmann, Indra/Collin, Peter</w:t>
      </w:r>
      <w:r>
        <w:t xml:space="preserve"> (Hrsg.) Generierung und Transfer staatlichen Wissens in System des Verwaltungsrecht, Tübingen, 2008, S. 55 ff. </w:t>
      </w:r>
    </w:p>
    <w:p w:rsidR="0018100D" w:rsidRDefault="0018100D" w:rsidP="00EF64F5">
      <w:pPr>
        <w:pStyle w:val="Literaturverzeichnis"/>
      </w:pPr>
      <w:r w:rsidRPr="000F2527">
        <w:rPr>
          <w:i/>
        </w:rPr>
        <w:t>Appel,</w:t>
      </w:r>
      <w:r>
        <w:rPr>
          <w:i/>
        </w:rPr>
        <w:t xml:space="preserve"> Ivo,</w:t>
      </w:r>
      <w:r w:rsidR="006D171B">
        <w:rPr>
          <w:i/>
        </w:rPr>
        <w:t xml:space="preserve"> </w:t>
      </w:r>
      <w:r w:rsidRPr="000F2527">
        <w:t>Klassisches Verwaltungsrecht und Steuerungswissenschaft, VVDStRL 67 (2008), S. 226</w:t>
      </w:r>
      <w:r>
        <w:t xml:space="preserve"> ff.</w:t>
      </w:r>
      <w:r w:rsidR="006D171B">
        <w:t xml:space="preserve"> </w:t>
      </w:r>
    </w:p>
    <w:p w:rsidR="0018100D" w:rsidRDefault="0018100D" w:rsidP="00EF64F5">
      <w:pPr>
        <w:pStyle w:val="Literaturverzeichnis"/>
      </w:pPr>
      <w:r w:rsidRPr="00A278FE">
        <w:rPr>
          <w:i/>
        </w:rPr>
        <w:t>Attendorn, Thorsten,</w:t>
      </w:r>
      <w:r w:rsidRPr="00A278FE">
        <w:t xml:space="preserve"> Die Regulierungsbehörde als freier Marktgestalter und Normsetzer? Die Zugangsanordnung nach § 21 TKG im Vergleich zur Festlegungsentscheidung nach § 29 EnWG, Möhnesee, 2008.</w:t>
      </w:r>
      <w:r w:rsidR="006D171B">
        <w:t xml:space="preserve"> </w:t>
      </w:r>
    </w:p>
    <w:p w:rsidR="0018100D" w:rsidRPr="00BD540B" w:rsidRDefault="0018100D" w:rsidP="00EF64F5">
      <w:pPr>
        <w:pStyle w:val="Literaturverzeichnis"/>
      </w:pPr>
      <w:r w:rsidRPr="00BD540B">
        <w:rPr>
          <w:i/>
          <w:lang w:val="en-US"/>
        </w:rPr>
        <w:t>Atzeni, Paolo/Cheung, David/Ram, Sudha</w:t>
      </w:r>
      <w:r w:rsidRPr="00BD540B">
        <w:rPr>
          <w:lang w:val="en-US"/>
        </w:rPr>
        <w:t xml:space="preserve"> (Hrsg.): Conceptual Modeling. </w:t>
      </w:r>
      <w:r w:rsidRPr="00BD540B">
        <w:t>31st International Conference ER 2012, Florence, Italy, October 15-18, 2012. Proceedings, Berlin, Heidelberg 2012, 487 ff.</w:t>
      </w:r>
      <w:r w:rsidR="006D171B">
        <w:t xml:space="preserve"> </w:t>
      </w:r>
    </w:p>
    <w:p w:rsidR="0018100D" w:rsidRDefault="0018100D" w:rsidP="00EF64F5">
      <w:pPr>
        <w:pStyle w:val="Literaturverzeichnis"/>
      </w:pPr>
      <w:r w:rsidRPr="000F2527">
        <w:rPr>
          <w:i/>
        </w:rPr>
        <w:t>Augsberg, Ino</w:t>
      </w:r>
      <w:r>
        <w:rPr>
          <w:i/>
        </w:rPr>
        <w:t>,(Hrsg</w:t>
      </w:r>
      <w:r w:rsidRPr="000F2527">
        <w:t>.) Ungewissheit als Chance - Perspektiven eines pr</w:t>
      </w:r>
      <w:r w:rsidRPr="000F2527">
        <w:t>o</w:t>
      </w:r>
      <w:r w:rsidRPr="000F2527">
        <w:t>duktiv</w:t>
      </w:r>
      <w:r>
        <w:t xml:space="preserve">en Umgangs mit Unsicherheit im </w:t>
      </w:r>
      <w:r w:rsidRPr="000F2527">
        <w:t>Rechtssystem, Tübingen, 2009.</w:t>
      </w:r>
      <w:r w:rsidR="006D171B">
        <w:t xml:space="preserve"> </w:t>
      </w:r>
    </w:p>
    <w:p w:rsidR="0018100D" w:rsidRDefault="0018100D" w:rsidP="00EF64F5">
      <w:pPr>
        <w:pStyle w:val="Literaturverzeichnis"/>
      </w:pPr>
      <w:r w:rsidRPr="000F2527">
        <w:rPr>
          <w:i/>
        </w:rPr>
        <w:t xml:space="preserve">Augsberg, Ino, </w:t>
      </w:r>
      <w:r>
        <w:t>Informationsverwaltungsrecht</w:t>
      </w:r>
      <w:r w:rsidR="006D171B">
        <w:t xml:space="preserve"> </w:t>
      </w:r>
      <w:r>
        <w:t xml:space="preserve">- </w:t>
      </w:r>
      <w:r w:rsidRPr="000F2527">
        <w:t>Zur kognitiven Dimension der rechtlichen Steuerung von Verwaltungsentscheidungen, Tübingen</w:t>
      </w:r>
      <w:r>
        <w:t>,</w:t>
      </w:r>
      <w:r w:rsidRPr="000F2527">
        <w:t xml:space="preserve"> 2014</w:t>
      </w:r>
      <w:r>
        <w:t>.</w:t>
      </w:r>
    </w:p>
    <w:p w:rsidR="0018100D" w:rsidRDefault="0018100D" w:rsidP="00EF64F5">
      <w:pPr>
        <w:pStyle w:val="Literaturverzeichnis"/>
      </w:pPr>
      <w:r w:rsidRPr="00F50070">
        <w:rPr>
          <w:i/>
        </w:rPr>
        <w:t>Baur, Jürgen F./Salje, Peter/Schmidt-Preuß, Matthias</w:t>
      </w:r>
      <w:r w:rsidRPr="00F50070">
        <w:t xml:space="preserve"> (Hrsg.), Regulierung in der Energiewirtschaft – Ein Praxishandbuch, Köln 2011.</w:t>
      </w:r>
    </w:p>
    <w:p w:rsidR="0018100D" w:rsidRDefault="0018100D" w:rsidP="00EF64F5">
      <w:pPr>
        <w:pStyle w:val="Literaturverzeichnis"/>
      </w:pPr>
      <w:r w:rsidRPr="00127451">
        <w:rPr>
          <w:i/>
        </w:rPr>
        <w:lastRenderedPageBreak/>
        <w:t>Beenken, Petra/ Appelrath, Hans-Jürgen/Eckert, Claudia</w:t>
      </w:r>
      <w:r>
        <w:t xml:space="preserve">, </w:t>
      </w:r>
      <w:r w:rsidRPr="004F0AF1">
        <w:t>Datenschutz und Datensicherheit in intelligenten Energienetzen</w:t>
      </w:r>
      <w:r>
        <w:t xml:space="preserve">, </w:t>
      </w:r>
      <w:r w:rsidRPr="00127451">
        <w:t xml:space="preserve">in: Schartner, Peter, Weippl, </w:t>
      </w:r>
      <w:r>
        <w:t>Edgar (Hrsg.): Proceedings of D-A-</w:t>
      </w:r>
      <w:r w:rsidRPr="00127451">
        <w:t>CH Security 2010, Wien, Österreich.</w:t>
      </w:r>
    </w:p>
    <w:p w:rsidR="0018100D" w:rsidRPr="00127451" w:rsidRDefault="0018100D" w:rsidP="00EF64F5">
      <w:pPr>
        <w:pStyle w:val="Literaturverzeichnis"/>
      </w:pPr>
      <w:r w:rsidRPr="004F2E1D">
        <w:rPr>
          <w:i/>
        </w:rPr>
        <w:t>Benz, Arthur/Lütz, Susanne/ Schimank, Uwe</w:t>
      </w:r>
      <w:r>
        <w:rPr>
          <w:i/>
        </w:rPr>
        <w:t xml:space="preserve">/Simonis, Georg </w:t>
      </w:r>
      <w:r w:rsidRPr="00E62F2B">
        <w:t>(H</w:t>
      </w:r>
      <w:r>
        <w:t xml:space="preserve">rsg.), </w:t>
      </w:r>
      <w:r w:rsidRPr="00E62F2B">
        <w:t>Han</w:t>
      </w:r>
      <w:r w:rsidRPr="00E62F2B">
        <w:t>d</w:t>
      </w:r>
      <w:r w:rsidRPr="00E62F2B">
        <w:t xml:space="preserve">buch Governance. Theoretische Grundlagen </w:t>
      </w:r>
      <w:r>
        <w:t>und empirische Anwe</w:t>
      </w:r>
      <w:r>
        <w:t>n</w:t>
      </w:r>
      <w:r>
        <w:t>dungsfelder,</w:t>
      </w:r>
      <w:r w:rsidRPr="00E62F2B">
        <w:t xml:space="preserve"> Wiesbaden</w:t>
      </w:r>
      <w:r w:rsidR="00B727BC">
        <w:t>, 2007.</w:t>
      </w:r>
    </w:p>
    <w:p w:rsidR="0018100D" w:rsidRPr="007F28AB" w:rsidRDefault="0018100D" w:rsidP="00EF64F5">
      <w:pPr>
        <w:pStyle w:val="Literaturverzeichnis"/>
      </w:pPr>
      <w:r w:rsidRPr="007F28AB">
        <w:rPr>
          <w:i/>
        </w:rPr>
        <w:t>Bielenberg,Walter/Runkel, Peter/Spannowsky, Willy</w:t>
      </w:r>
      <w:r w:rsidRPr="007F28AB">
        <w:t xml:space="preserve"> (Hrsg.): Raumor</w:t>
      </w:r>
      <w:r w:rsidRPr="007F28AB">
        <w:t>d</w:t>
      </w:r>
      <w:r w:rsidRPr="007F28AB">
        <w:t>nungs- und Landesplanungsrecht des Bundes und der Länder, Stand 2016.</w:t>
      </w:r>
      <w:r w:rsidR="006D171B">
        <w:t xml:space="preserve"> </w:t>
      </w:r>
    </w:p>
    <w:p w:rsidR="0018100D" w:rsidRDefault="0018100D" w:rsidP="00EF64F5">
      <w:pPr>
        <w:pStyle w:val="Literaturverzeichnis"/>
      </w:pPr>
      <w:r w:rsidRPr="009C2E55">
        <w:rPr>
          <w:i/>
        </w:rPr>
        <w:t>Bizer, Johann/Lutterbeck, Bernd/Rieß, Joachim</w:t>
      </w:r>
      <w:r>
        <w:t xml:space="preserve"> (Hrsg.), </w:t>
      </w:r>
      <w:r w:rsidRPr="00506F2C">
        <w:t>Umbruch von R</w:t>
      </w:r>
      <w:r w:rsidRPr="00506F2C">
        <w:t>e</w:t>
      </w:r>
      <w:r w:rsidRPr="00506F2C">
        <w:t>gelungssystemen in der Informationsgesellschaft – Freundesgabe für Alfred Büllesbach,</w:t>
      </w:r>
      <w:r>
        <w:t xml:space="preserve"> Stuttgart, 2002.</w:t>
      </w:r>
    </w:p>
    <w:p w:rsidR="0018100D" w:rsidRPr="00127FF5" w:rsidRDefault="0018100D" w:rsidP="00EF64F5">
      <w:pPr>
        <w:pStyle w:val="Literaturverzeichnis"/>
      </w:pPr>
      <w:r w:rsidRPr="00127FF5">
        <w:rPr>
          <w:i/>
        </w:rPr>
        <w:t>Bizer, Johann</w:t>
      </w:r>
      <w:r>
        <w:t xml:space="preserve">, </w:t>
      </w:r>
      <w:r w:rsidRPr="00127FF5">
        <w:t xml:space="preserve">Mut </w:t>
      </w:r>
      <w:r>
        <w:t xml:space="preserve">zur Selbstregulierung, DuD 2003, S. 394 ff. </w:t>
      </w:r>
    </w:p>
    <w:p w:rsidR="0018100D" w:rsidRDefault="0018100D" w:rsidP="00EF64F5">
      <w:pPr>
        <w:pStyle w:val="Literaturverzeichnis"/>
      </w:pPr>
      <w:r w:rsidRPr="004F0AF1">
        <w:rPr>
          <w:i/>
        </w:rPr>
        <w:t>Bizer, Johann,</w:t>
      </w:r>
      <w:r w:rsidRPr="004F0AF1">
        <w:t xml:space="preserve"> Datenschutzrechtliche Informationspflichten, DuD 2005, S.</w:t>
      </w:r>
      <w:r w:rsidR="00ED1A63">
        <w:t> </w:t>
      </w:r>
      <w:r w:rsidRPr="004F0AF1">
        <w:t>451</w:t>
      </w:r>
      <w:r>
        <w:t xml:space="preserve"> ff. </w:t>
      </w:r>
    </w:p>
    <w:p w:rsidR="0018100D" w:rsidRDefault="0018100D" w:rsidP="00EF64F5">
      <w:pPr>
        <w:pStyle w:val="Literaturverzeichnis"/>
      </w:pPr>
      <w:r w:rsidRPr="004F0AF1">
        <w:rPr>
          <w:i/>
        </w:rPr>
        <w:t>Bizer, Johann</w:t>
      </w:r>
      <w:r w:rsidRPr="004F0AF1">
        <w:t>, Sieben Goldene Regeln des Datenschutzes, DuD 2007, S.</w:t>
      </w:r>
      <w:r w:rsidR="00ED1A63">
        <w:t> </w:t>
      </w:r>
      <w:r w:rsidRPr="004F0AF1">
        <w:t>350</w:t>
      </w:r>
      <w:r w:rsidR="00A70350">
        <w:t xml:space="preserve"> </w:t>
      </w:r>
      <w:r>
        <w:t xml:space="preserve">ff. </w:t>
      </w:r>
    </w:p>
    <w:p w:rsidR="0018100D" w:rsidRDefault="00A70350" w:rsidP="00EF64F5">
      <w:pPr>
        <w:pStyle w:val="Literaturverzeichnis"/>
      </w:pPr>
      <w:r w:rsidRPr="00A70350">
        <w:rPr>
          <w:i/>
        </w:rPr>
        <w:t>Büllesbach Alfred,</w:t>
      </w:r>
      <w:r>
        <w:t xml:space="preserve"> Selbstregulierung im Datenschutzrecht, RDV 2005, </w:t>
      </w:r>
      <w:r w:rsidR="00ED1A63">
        <w:br/>
      </w:r>
      <w:r>
        <w:t xml:space="preserve">S. 13 ff. </w:t>
      </w:r>
    </w:p>
    <w:p w:rsidR="0018100D" w:rsidRPr="005378CB" w:rsidRDefault="0018100D" w:rsidP="00EF64F5">
      <w:pPr>
        <w:pStyle w:val="Literaturverzeichnis"/>
      </w:pPr>
      <w:r w:rsidRPr="005378CB">
        <w:rPr>
          <w:i/>
        </w:rPr>
        <w:t>Bundesbeauftragter für Datenschutz und Informationssicherheit</w:t>
      </w:r>
      <w:r w:rsidRPr="005378CB">
        <w:t>, 23. Täti</w:t>
      </w:r>
      <w:r w:rsidRPr="005378CB">
        <w:t>g</w:t>
      </w:r>
      <w:r w:rsidRPr="005378CB">
        <w:t>keitsbericht zum Datenschu</w:t>
      </w:r>
      <w:r>
        <w:t xml:space="preserve">tz für die Jahre 2009 und 2010, online über </w:t>
      </w:r>
      <w:r w:rsidRPr="005378CB">
        <w:t>http://www.bfdi.bund.de/SharedDocs/Publikationen/Taetigkeitsberichte/TB_BfDI/23TB_09_10.pdf?__blob=publicationFile&amp;v=6</w:t>
      </w:r>
    </w:p>
    <w:p w:rsidR="0018100D" w:rsidRPr="00110208" w:rsidRDefault="0018100D" w:rsidP="00EF64F5">
      <w:pPr>
        <w:pStyle w:val="Literaturverzeichnis"/>
      </w:pPr>
      <w:r w:rsidRPr="00C77687">
        <w:rPr>
          <w:i/>
        </w:rPr>
        <w:t>Bundesministerium des Innern</w:t>
      </w:r>
      <w:r>
        <w:t>,</w:t>
      </w:r>
      <w:r w:rsidRPr="00110208">
        <w:t xml:space="preserve"> Nationale Strategie zum Schutz Kritischer Infrastrukturen (KRITIS-Strategie </w:t>
      </w:r>
      <w:r>
        <w:t xml:space="preserve">2009), online über </w:t>
      </w:r>
      <w:r w:rsidRPr="00110208">
        <w:t>http://www.bmi.bund.de/SharedDocs/Downloads/DE/Broschueren/2009/kritis.pdf?__blob=publicationFile</w:t>
      </w:r>
    </w:p>
    <w:p w:rsidR="0018100D" w:rsidRPr="00110208" w:rsidRDefault="0018100D" w:rsidP="00EF64F5">
      <w:pPr>
        <w:pStyle w:val="Literaturverzeichnis"/>
      </w:pPr>
      <w:r w:rsidRPr="00110208">
        <w:rPr>
          <w:i/>
        </w:rPr>
        <w:lastRenderedPageBreak/>
        <w:t>Bundesministerium für Wirtschaft</w:t>
      </w:r>
      <w:r>
        <w:rPr>
          <w:i/>
        </w:rPr>
        <w:t xml:space="preserve"> und Energie</w:t>
      </w:r>
      <w:r w:rsidRPr="00110208">
        <w:t>, Strategie Intelligente Ve</w:t>
      </w:r>
      <w:r w:rsidRPr="00110208">
        <w:t>r</w:t>
      </w:r>
      <w:r w:rsidRPr="00110208">
        <w:t>netzung,</w:t>
      </w:r>
      <w:r>
        <w:t xml:space="preserve"> online über </w:t>
      </w:r>
      <w:r w:rsidRPr="00110208">
        <w:t>http://www.bmwi.de/BMWi/Redaktion/PDF/Publi</w:t>
      </w:r>
      <w:r w:rsidR="00E85BEA">
        <w:t>kationen/strategie-intelligente-</w:t>
      </w:r>
      <w:r w:rsidRPr="00110208">
        <w:t>vernetzung,property=pdf,bereich=bmwi2012,sprache=de,rwb=true.pdf</w:t>
      </w:r>
    </w:p>
    <w:p w:rsidR="0018100D" w:rsidRPr="000B0ECE" w:rsidRDefault="0018100D" w:rsidP="00EF64F5">
      <w:pPr>
        <w:pStyle w:val="Literaturverzeichnis"/>
      </w:pPr>
      <w:r w:rsidRPr="000B0ECE">
        <w:rPr>
          <w:i/>
        </w:rPr>
        <w:t>Bundesministerium für Wirtschaft und Energie</w:t>
      </w:r>
      <w:r>
        <w:rPr>
          <w:i/>
        </w:rPr>
        <w:t>,</w:t>
      </w:r>
      <w:r w:rsidR="006D171B">
        <w:rPr>
          <w:i/>
        </w:rPr>
        <w:t xml:space="preserve"> </w:t>
      </w:r>
      <w:r w:rsidRPr="000B0ECE">
        <w:t>Baustein für die Energi</w:t>
      </w:r>
      <w:r w:rsidRPr="000B0ECE">
        <w:t>e</w:t>
      </w:r>
      <w:r w:rsidRPr="000B0ECE">
        <w:t xml:space="preserve">wende: 7 Eckpunkte für das „Verordnungspaket Intelligente Netze“, </w:t>
      </w:r>
      <w:r>
        <w:t xml:space="preserve">online über </w:t>
      </w:r>
      <w:r w:rsidRPr="000B0ECE">
        <w:t>https://www.bmwi.de/BMWi/Redaktion/PDF/E/eckpunkte-fuer-das-verordnungspaket-intelligente-netze,property=pdf,bereich=bmwi2012,sprache=de,rwb=true.pdf</w:t>
      </w:r>
    </w:p>
    <w:p w:rsidR="00D459CF" w:rsidRPr="004000DF" w:rsidRDefault="00D459CF" w:rsidP="0018100D"/>
    <w:sectPr w:rsidR="00D459CF" w:rsidRPr="004000DF" w:rsidSect="00AC12B6">
      <w:headerReference w:type="even" r:id="rId27"/>
      <w:headerReference w:type="default" r:id="rId28"/>
      <w:footerReference w:type="first" r:id="rId29"/>
      <w:footnotePr>
        <w:numRestart w:val="eachSect"/>
      </w:footnotePr>
      <w:type w:val="oddPage"/>
      <w:pgSz w:w="11906" w:h="16838" w:code="9"/>
      <w:pgMar w:top="2041" w:right="1304" w:bottom="2041" w:left="1985" w:header="1134" w:footer="113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5DB3" w:rsidRDefault="005D5DB3" w:rsidP="005A5515">
      <w:pPr>
        <w:spacing w:after="0" w:line="240" w:lineRule="auto"/>
      </w:pPr>
      <w:r>
        <w:separator/>
      </w:r>
    </w:p>
  </w:endnote>
  <w:endnote w:type="continuationSeparator" w:id="0">
    <w:p w:rsidR="005D5DB3" w:rsidRDefault="005D5DB3" w:rsidP="005A55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uzeile"/>
    </w:pPr>
    <w:r>
      <w:fldChar w:fldCharType="begin"/>
    </w:r>
    <w:r>
      <w:instrText>PAGE   \* MERGEFORMAT</w:instrText>
    </w:r>
    <w:r>
      <w:fldChar w:fldCharType="separate"/>
    </w:r>
    <w:r w:rsidR="00391ED7">
      <w:rPr>
        <w:noProof/>
      </w:rPr>
      <w:t>VIII</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6699329"/>
      <w:docPartObj>
        <w:docPartGallery w:val="Page Numbers (Bottom of Page)"/>
        <w:docPartUnique/>
      </w:docPartObj>
    </w:sdtPr>
    <w:sdtContent>
      <w:p w:rsidR="005D5DB3" w:rsidRPr="007B086A" w:rsidRDefault="005D5DB3" w:rsidP="007B086A">
        <w:pPr>
          <w:pStyle w:val="Seitenzahlrechts"/>
        </w:pPr>
        <w:r w:rsidRPr="007B086A">
          <w:t xml:space="preserve">  </w:t>
        </w:r>
        <w:r w:rsidRPr="007B086A">
          <w:fldChar w:fldCharType="begin"/>
        </w:r>
        <w:r w:rsidRPr="007B086A">
          <w:instrText>PAGE   \* MERGEFORMAT</w:instrText>
        </w:r>
        <w:r w:rsidRPr="007B086A">
          <w:fldChar w:fldCharType="separate"/>
        </w:r>
        <w:r w:rsidR="00391ED7">
          <w:rPr>
            <w:noProof/>
          </w:rPr>
          <w:t>65</w:t>
        </w:r>
        <w:r w:rsidRPr="007B086A">
          <w:fldChar w:fldCharType="end"/>
        </w:r>
        <w:r w:rsidRPr="007B086A">
          <w:t xml:space="preserve"> </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0988363"/>
      <w:docPartObj>
        <w:docPartGallery w:val="Page Numbers (Bottom of Page)"/>
        <w:docPartUnique/>
      </w:docPartObj>
    </w:sdtPr>
    <w:sdtContent>
      <w:p w:rsidR="005D5DB3" w:rsidRDefault="005D5DB3" w:rsidP="00F8546B">
        <w:pPr>
          <w:pStyle w:val="Seitenzahlrechts"/>
        </w:pPr>
        <w:r>
          <w:fldChar w:fldCharType="begin"/>
        </w:r>
        <w:r>
          <w:instrText>PAGE   \* MERGEFORMAT</w:instrText>
        </w:r>
        <w:r>
          <w:fldChar w:fldCharType="separate"/>
        </w:r>
        <w:r w:rsidR="00391ED7">
          <w:rPr>
            <w:noProof/>
          </w:rPr>
          <w:t>V</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uzeile"/>
    </w:pPr>
    <w:r>
      <w:fldChar w:fldCharType="begin"/>
    </w:r>
    <w:r>
      <w:instrText>PAGE   \* MERGEFORMAT</w:instrText>
    </w:r>
    <w:r>
      <w:fldChar w:fldCharType="separate"/>
    </w:r>
    <w:r w:rsidR="00391ED7">
      <w:rPr>
        <w:noProof/>
      </w:rPr>
      <w:t>64</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r>
      <w:fldChar w:fldCharType="begin"/>
    </w:r>
    <w:r>
      <w:instrText>PAGE   \* MERGEFORMAT</w:instrText>
    </w:r>
    <w:r>
      <w:fldChar w:fldCharType="separate"/>
    </w:r>
    <w:r w:rsidR="00391ED7">
      <w:rPr>
        <w:noProof/>
      </w:rPr>
      <w:t>3</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EA74A7" w:rsidRDefault="005D5DB3" w:rsidP="00EA74A7">
    <w:pPr>
      <w:pStyle w:val="Fuzeil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8533749"/>
      <w:docPartObj>
        <w:docPartGallery w:val="Page Numbers (Bottom of Page)"/>
        <w:docPartUnique/>
      </w:docPartObj>
    </w:sdtPr>
    <w:sdtContent>
      <w:p w:rsidR="005D5DB3" w:rsidRDefault="005D5DB3" w:rsidP="00F8546B">
        <w:pPr>
          <w:pStyle w:val="Seitenzahlrechts"/>
        </w:pPr>
        <w:r>
          <w:fldChar w:fldCharType="begin"/>
        </w:r>
        <w:r>
          <w:instrText>PAGE   \* MERGEFORMAT</w:instrText>
        </w:r>
        <w:r>
          <w:fldChar w:fldCharType="separate"/>
        </w:r>
        <w:r w:rsidR="00391ED7">
          <w:rPr>
            <w:noProof/>
          </w:rPr>
          <w:t>7</w:t>
        </w:r>
        <w: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9030093"/>
      <w:docPartObj>
        <w:docPartGallery w:val="Page Numbers (Bottom of Page)"/>
        <w:docPartUnique/>
      </w:docPartObj>
    </w:sdtPr>
    <w:sdtContent>
      <w:p w:rsidR="005D5DB3" w:rsidRDefault="005D5DB3" w:rsidP="00F8546B">
        <w:pPr>
          <w:pStyle w:val="Seitenzahlrechts"/>
        </w:pPr>
        <w:r>
          <w:fldChar w:fldCharType="begin"/>
        </w:r>
        <w:r>
          <w:instrText>PAGE   \* MERGEFORMAT</w:instrText>
        </w:r>
        <w:r>
          <w:fldChar w:fldCharType="separate"/>
        </w:r>
        <w:r w:rsidR="00391ED7">
          <w:rPr>
            <w:noProof/>
          </w:rPr>
          <w:t>59</w:t>
        </w:r>
        <w: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r>
      <w:fldChar w:fldCharType="begin"/>
    </w:r>
    <w:r>
      <w:instrText>PAGE   \* MERGEFORMAT</w:instrText>
    </w:r>
    <w:r>
      <w:fldChar w:fldCharType="separate"/>
    </w:r>
    <w:r w:rsidR="00391ED7">
      <w:rPr>
        <w:noProof/>
      </w:rPr>
      <w:t>67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5DB3" w:rsidRDefault="005D5DB3" w:rsidP="006E7507">
      <w:pPr>
        <w:spacing w:before="200" w:after="0" w:line="240" w:lineRule="auto"/>
      </w:pPr>
      <w:r>
        <w:separator/>
      </w:r>
    </w:p>
  </w:footnote>
  <w:footnote w:type="continuationSeparator" w:id="0">
    <w:p w:rsidR="005D5DB3" w:rsidRDefault="005D5DB3" w:rsidP="005A5515">
      <w:pPr>
        <w:spacing w:after="0" w:line="240" w:lineRule="auto"/>
      </w:pPr>
      <w:r>
        <w:continuationSeparator/>
      </w:r>
    </w:p>
  </w:footnote>
  <w:footnote w:id="1">
    <w:p w:rsidR="005D5DB3" w:rsidRPr="009B18A2" w:rsidRDefault="005D5DB3" w:rsidP="009B18A2">
      <w:pPr>
        <w:pStyle w:val="Funote"/>
      </w:pPr>
      <w:r w:rsidRPr="006E7507">
        <w:rPr>
          <w:rStyle w:val="Funotenzeichen"/>
        </w:rPr>
        <w:footnoteRef/>
      </w:r>
      <w:r w:rsidRPr="009B18A2">
        <w:t xml:space="preserve"> </w:t>
      </w:r>
      <w:r>
        <w:tab/>
      </w:r>
      <w:r w:rsidRPr="009B18A2">
        <w:t>Siehe ErwGr. 27, 55, Art. 3 Abs. 11, Anlage I Pkt. 2 Elektrizitätsbinnenmarkt-RL 2009/72/EG.</w:t>
      </w:r>
    </w:p>
  </w:footnote>
  <w:footnote w:id="2">
    <w:p w:rsidR="005D5DB3" w:rsidRPr="009B18A2" w:rsidRDefault="005D5DB3" w:rsidP="009B18A2">
      <w:pPr>
        <w:pStyle w:val="Funote"/>
      </w:pPr>
      <w:r w:rsidRPr="006E7507">
        <w:rPr>
          <w:rStyle w:val="Funotenzeichen"/>
        </w:rPr>
        <w:footnoteRef/>
      </w:r>
      <w:r w:rsidRPr="009B18A2">
        <w:t xml:space="preserve"> </w:t>
      </w:r>
      <w:r>
        <w:tab/>
      </w:r>
      <w:r w:rsidRPr="009B18A2">
        <w:t>Unter dem</w:t>
      </w:r>
      <w:r>
        <w:t xml:space="preserve"> </w:t>
      </w:r>
      <w:r w:rsidRPr="009B18A2">
        <w:t xml:space="preserve">Begriff „Smart Grid“ wird ein „intelligentes“ Netz verstanden, bei dem Stromerzeuger, Verbraucher, Speicher sowie Netzbetriebsmittel vernetzt werden, vgl. Wiesemann, MMR 2011, S. 355. </w:t>
      </w:r>
    </w:p>
  </w:footnote>
  <w:footnote w:id="3">
    <w:p w:rsidR="005D5DB3" w:rsidRDefault="005D5DB3" w:rsidP="006E7507">
      <w:pPr>
        <w:pStyle w:val="Funote"/>
      </w:pPr>
      <w:r w:rsidRPr="006E7507">
        <w:rPr>
          <w:rStyle w:val="Funotenzeichen"/>
        </w:rPr>
        <w:footnoteRef/>
      </w:r>
      <w:r w:rsidRPr="009B18A2">
        <w:t xml:space="preserve"> </w:t>
      </w:r>
      <w:r>
        <w:tab/>
      </w:r>
      <w:r w:rsidRPr="006D171B">
        <w:rPr>
          <w:szCs w:val="24"/>
        </w:rPr>
        <w:t>Nach § 21d Abs. 1 EnWG a.F. wurde in Umsetzung der europäischen Vorgaben ein Messsystem definiert als eine in ein Kommunikationsnetz eingebundene Messei</w:t>
      </w:r>
      <w:r w:rsidRPr="006D171B">
        <w:rPr>
          <w:szCs w:val="24"/>
        </w:rPr>
        <w:t>n</w:t>
      </w:r>
      <w:r w:rsidRPr="006D171B">
        <w:rPr>
          <w:szCs w:val="24"/>
        </w:rPr>
        <w:t>richtung zur Erfassung elektrischer Energie, das den tatsächlichen Energieverbrauch und die tatsächliche Nutzungszeit widerspiegelt. Der Begriff des intelligenten Mes</w:t>
      </w:r>
      <w:r w:rsidRPr="006D171B">
        <w:rPr>
          <w:szCs w:val="24"/>
        </w:rPr>
        <w:t>s</w:t>
      </w:r>
      <w:r w:rsidRPr="006D171B">
        <w:rPr>
          <w:szCs w:val="24"/>
        </w:rPr>
        <w:t>systems war gesetzlich noch nicht eingeführt. Nach § 2 Nr. 7 MsbG handelt es sich bei einem intelligenten Messsystem um eine über ein Smart-Meter-Gateway in ein Kommunikationsnetz eingebundene moderne Messeinrichtung zur Erfassung elektr</w:t>
      </w:r>
      <w:r w:rsidRPr="006D171B">
        <w:rPr>
          <w:szCs w:val="24"/>
        </w:rPr>
        <w:t>i</w:t>
      </w:r>
      <w:r w:rsidRPr="006D171B">
        <w:rPr>
          <w:szCs w:val="24"/>
        </w:rPr>
        <w:t>scher Energie, das den tatsächlichen Energieverbrauch und die tatsächliche Nu</w:t>
      </w:r>
      <w:r w:rsidRPr="006D171B">
        <w:rPr>
          <w:szCs w:val="24"/>
        </w:rPr>
        <w:t>t</w:t>
      </w:r>
      <w:r w:rsidRPr="006D171B">
        <w:rPr>
          <w:szCs w:val="24"/>
        </w:rPr>
        <w:t>zungszeit widerspiegelt und den besonderen Anforderungen nach den §§ </w:t>
      </w:r>
      <w:hyperlink r:id="rId1" w:history="1">
        <w:r w:rsidRPr="006D171B">
          <w:rPr>
            <w:szCs w:val="24"/>
          </w:rPr>
          <w:t>21</w:t>
        </w:r>
      </w:hyperlink>
      <w:r w:rsidRPr="006D171B">
        <w:rPr>
          <w:szCs w:val="24"/>
        </w:rPr>
        <w:t xml:space="preserve"> und </w:t>
      </w:r>
      <w:hyperlink r:id="rId2" w:history="1">
        <w:r w:rsidRPr="006D171B">
          <w:rPr>
            <w:szCs w:val="24"/>
          </w:rPr>
          <w:t>22</w:t>
        </w:r>
      </w:hyperlink>
      <w:r w:rsidRPr="006D171B">
        <w:rPr>
          <w:szCs w:val="24"/>
        </w:rPr>
        <w:t xml:space="preserve"> MsbG genügt, die zur Gewährleistung des Datenschutzes, der Datensicherheit und Interoperabilität in Schutzprofilen und Technischen Richtlinien festgelegt werden können. Ein Messsystem wird in § 2 Nr. 13 MsbG hingegen lediglich als eine in ein Kommunikationsnetz eingebundene Messeinrichtung definiert. </w:t>
      </w:r>
    </w:p>
  </w:footnote>
  <w:footnote w:id="4">
    <w:p w:rsidR="005D5DB3" w:rsidRDefault="005D5DB3" w:rsidP="00453A77">
      <w:pPr>
        <w:pStyle w:val="Funote"/>
      </w:pPr>
      <w:r>
        <w:rPr>
          <w:rStyle w:val="Funotenzeichen"/>
        </w:rPr>
        <w:footnoteRef/>
      </w:r>
      <w:r>
        <w:t xml:space="preserve"> </w:t>
      </w:r>
      <w:r>
        <w:tab/>
      </w:r>
      <w:r w:rsidRPr="00D23D37">
        <w:rPr>
          <w:i/>
        </w:rPr>
        <w:t>Raabe/Lorenz/Pallas/Weis</w:t>
      </w:r>
      <w:r>
        <w:t xml:space="preserve">, CR 2011, 831, 839. </w:t>
      </w:r>
    </w:p>
  </w:footnote>
  <w:footnote w:id="5">
    <w:p w:rsidR="005D5DB3" w:rsidRDefault="005D5DB3" w:rsidP="006932DD">
      <w:pPr>
        <w:pStyle w:val="Funote"/>
      </w:pPr>
      <w:r>
        <w:rPr>
          <w:rStyle w:val="Funotenzeichen"/>
        </w:rPr>
        <w:footnoteRef/>
      </w:r>
      <w:r>
        <w:t xml:space="preserve"> </w:t>
      </w:r>
      <w:r>
        <w:tab/>
        <w:t>Dies muss wiederum eine Eingrenzung finden, indem das Festlegungsverfahren nach § 29 EnWG i.V.m. § 27 Abs. 1 Nr. 11 StromNZV zur bundeseinheitlichen Regelung zum Datenaustausch zwischen den betroffenen Marktteilnehmern, insbesondere hi</w:t>
      </w:r>
      <w:r>
        <w:t>n</w:t>
      </w:r>
      <w:r>
        <w:t>sichtlich Fristen, Formaten sowie Prozessen, die eine größtmögliche Automatisi</w:t>
      </w:r>
      <w:r>
        <w:t>e</w:t>
      </w:r>
      <w:r>
        <w:t>rung ermöglichen, Gegenstand der Arbeit ist.</w:t>
      </w:r>
    </w:p>
  </w:footnote>
  <w:footnote w:id="6">
    <w:p w:rsidR="005D5DB3" w:rsidRPr="00C0456E" w:rsidRDefault="005D5DB3" w:rsidP="006932DD">
      <w:pPr>
        <w:pStyle w:val="Funote"/>
        <w:rPr>
          <w:lang w:val="en-US"/>
        </w:rPr>
      </w:pPr>
      <w:r w:rsidRPr="00A3405B">
        <w:rPr>
          <w:rStyle w:val="Funotenzeichen"/>
        </w:rPr>
        <w:footnoteRef/>
      </w:r>
      <w:r>
        <w:rPr>
          <w:rStyle w:val="Funotenzeichen"/>
          <w:lang w:val="en-US"/>
        </w:rPr>
        <w:t xml:space="preserve"> </w:t>
      </w:r>
      <w:r>
        <w:rPr>
          <w:lang w:val="en-US"/>
        </w:rPr>
        <w:tab/>
      </w:r>
      <w:r w:rsidRPr="00C0456E">
        <w:rPr>
          <w:lang w:val="en-US"/>
        </w:rPr>
        <w:t>BR-Drs. 343/11, S. 193 f.</w:t>
      </w:r>
    </w:p>
  </w:footnote>
  <w:footnote w:id="7">
    <w:p w:rsidR="005D5DB3" w:rsidRPr="00C0456E" w:rsidRDefault="005D5DB3" w:rsidP="006932DD">
      <w:pPr>
        <w:pStyle w:val="Funote"/>
        <w:rPr>
          <w:lang w:val="en-US"/>
        </w:rPr>
      </w:pPr>
      <w:r>
        <w:rPr>
          <w:rStyle w:val="Funotenzeichen"/>
        </w:rPr>
        <w:footnoteRef/>
      </w:r>
      <w:r w:rsidRPr="00C0456E">
        <w:rPr>
          <w:lang w:val="en-US"/>
        </w:rPr>
        <w:t xml:space="preserve"> </w:t>
      </w:r>
      <w:r>
        <w:rPr>
          <w:lang w:val="en-US"/>
        </w:rPr>
        <w:tab/>
      </w:r>
      <w:r w:rsidRPr="00C0456E">
        <w:rPr>
          <w:lang w:val="en-US"/>
        </w:rPr>
        <w:t>BR-Drs. 343/11, S. 193 f.</w:t>
      </w:r>
    </w:p>
  </w:footnote>
  <w:footnote w:id="8">
    <w:p w:rsidR="005D5DB3" w:rsidRDefault="005D5DB3" w:rsidP="006932DD">
      <w:pPr>
        <w:pStyle w:val="Funote"/>
      </w:pPr>
      <w:r>
        <w:rPr>
          <w:rStyle w:val="Funotenzeichen"/>
        </w:rPr>
        <w:footnoteRef/>
      </w:r>
      <w:r>
        <w:t xml:space="preserve"> </w:t>
      </w:r>
      <w:r>
        <w:tab/>
      </w:r>
      <w:r w:rsidRPr="00042F44">
        <w:rPr>
          <w:i/>
        </w:rPr>
        <w:t>Lorenz/Raabe</w:t>
      </w:r>
      <w:r>
        <w:t xml:space="preserve">, in: Säcker, Berliner Kommentar zum Energierecht, Band 1 Teil 1, § 21 g Rn. 2. </w:t>
      </w:r>
      <w:r w:rsidRPr="00042F44">
        <w:rPr>
          <w:i/>
        </w:rPr>
        <w:t>Raabe/Lorenz/Pallas/Weis</w:t>
      </w:r>
      <w:r>
        <w:t>, CR 2011, 831, 832.</w:t>
      </w:r>
    </w:p>
  </w:footnote>
  <w:footnote w:id="9">
    <w:p w:rsidR="005D5DB3" w:rsidRPr="00542C14" w:rsidRDefault="005D5DB3" w:rsidP="006932DD">
      <w:pPr>
        <w:pStyle w:val="Funote"/>
      </w:pPr>
      <w:r w:rsidRPr="00036A6A">
        <w:rPr>
          <w:rStyle w:val="Funotenzeichen"/>
          <w:sz w:val="18"/>
          <w:szCs w:val="18"/>
        </w:rPr>
        <w:footnoteRef/>
      </w:r>
      <w:r w:rsidRPr="00542C14">
        <w:t xml:space="preserve"> </w:t>
      </w:r>
      <w:r>
        <w:tab/>
      </w:r>
      <w:r w:rsidRPr="00542C14">
        <w:t>BGBl. I 2011, S. 1554.</w:t>
      </w:r>
    </w:p>
  </w:footnote>
  <w:footnote w:id="10">
    <w:p w:rsidR="005D5DB3" w:rsidRDefault="005D5DB3" w:rsidP="006932DD">
      <w:pPr>
        <w:pStyle w:val="Funote"/>
      </w:pPr>
      <w:r>
        <w:rPr>
          <w:rStyle w:val="Funotenzeichen"/>
        </w:rPr>
        <w:footnoteRef/>
      </w:r>
      <w:r>
        <w:rPr>
          <w:rStyle w:val="Funotenzeichen"/>
        </w:rPr>
        <w:t xml:space="preserve"> </w:t>
      </w:r>
      <w:r>
        <w:tab/>
        <w:t xml:space="preserve">Nach </w:t>
      </w:r>
      <w:r w:rsidRPr="00042F44">
        <w:rPr>
          <w:i/>
        </w:rPr>
        <w:t>Raabe/Lorenz/Pallas/Weis</w:t>
      </w:r>
      <w:r w:rsidRPr="00A3405B">
        <w:t>, CR 2011, 831</w:t>
      </w:r>
      <w:r>
        <w:t>, 831.</w:t>
      </w:r>
    </w:p>
  </w:footnote>
  <w:footnote w:id="11">
    <w:p w:rsidR="005D5DB3" w:rsidRDefault="005D5DB3" w:rsidP="006932DD">
      <w:pPr>
        <w:pStyle w:val="Funote"/>
      </w:pPr>
      <w:r>
        <w:rPr>
          <w:rStyle w:val="Funotenzeichen"/>
        </w:rPr>
        <w:footnoteRef/>
      </w:r>
      <w:r>
        <w:t xml:space="preserve"> </w:t>
      </w:r>
      <w:r>
        <w:tab/>
      </w:r>
      <w:r w:rsidRPr="00042F44">
        <w:rPr>
          <w:i/>
        </w:rPr>
        <w:t>Lorenz/Raabe</w:t>
      </w:r>
      <w:r>
        <w:rPr>
          <w:i/>
        </w:rPr>
        <w:t>,</w:t>
      </w:r>
      <w:r>
        <w:t xml:space="preserve"> in: </w:t>
      </w:r>
      <w:r>
        <w:fldChar w:fldCharType="begin"/>
      </w:r>
      <w:r>
        <w:instrText>ADDIN CITAVI.PLACEHOLDER 6343c49a-32ae-4860-a253-8302629cf38d PFBsYWNlaG9sZGVyPg0KICA8QWRkSW5WZXJzaW9uPjQuNC4wLjI4PC9BZGRJblZlcnNpb24+DQogIDxJZD42MzQzYzQ5YS0zMmFlLTQ4NjAtYTI1My04MzAyNjI5Y2YzOGQ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Rn. 2; </w:t>
      </w:r>
      <w:r>
        <w:fldChar w:fldCharType="begin"/>
      </w:r>
      <w:r>
        <w:instrText>ADDIN CITAVI.PLACEHOLDER 0a811f52-b3c2-49d8-b41a-5700776e4785 PFBsYWNlaG9sZGVyPg0KICA8QWRkSW5WZXJzaW9uPjQuNC4wLjI4PC9BZGRJblZlcnNpb24+DQogIDxJZD4wYTgxMWY1Mi1iM2MyLTQ5ZDgtYjQxYS01NzAwNzc2ZTQ3ODU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12">
    <w:p w:rsidR="005D5DB3" w:rsidRDefault="005D5DB3" w:rsidP="006932DD">
      <w:pPr>
        <w:pStyle w:val="Funote"/>
      </w:pPr>
      <w:r>
        <w:rPr>
          <w:rStyle w:val="Funotenzeichen"/>
        </w:rPr>
        <w:footnoteRef/>
      </w:r>
      <w:r>
        <w:t xml:space="preserve"> </w:t>
      </w:r>
      <w:r>
        <w:tab/>
      </w:r>
      <w:r w:rsidRPr="00042F44">
        <w:rPr>
          <w:i/>
        </w:rPr>
        <w:t>Lorenz/Raabe</w:t>
      </w:r>
      <w:r>
        <w:rPr>
          <w:i/>
        </w:rPr>
        <w:t>,</w:t>
      </w:r>
      <w:r>
        <w:t xml:space="preserve"> in: </w:t>
      </w:r>
      <w:r>
        <w:fldChar w:fldCharType="begin"/>
      </w:r>
      <w:r>
        <w:instrText>ADDIN CITAVI.PLACEHOLDER 75b8bba6-ecd5-4d90-b097-2347a8cbaf9f PFBsYWNlaG9sZGVyPg0KICA8QWRkSW5WZXJzaW9uPjQuNC4wLjI4PC9BZGRJblZlcnNpb24+DQogIDxJZD43NWI4YmJhNi1lY2Q1LTRkOTAtYjA5Ny0yMzQ3YThjYmFmOWY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Rn. 2; </w:t>
      </w:r>
      <w:r>
        <w:fldChar w:fldCharType="begin"/>
      </w:r>
      <w:r>
        <w:instrText>ADDIN CITAVI.PLACEHOLDER 257140b8-d9df-43db-bdab-338395e9996b PFBsYWNlaG9sZGVyPg0KICA8QWRkSW5WZXJzaW9uPjQuNC4wLjI4PC9BZGRJblZlcnNpb24+DQogIDxJZD4yNTcxNDBiOC1kOWRmLTQzZGItYmRhYi0zMzgzOTVlOTk5NmI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13">
    <w:p w:rsidR="005D5DB3" w:rsidRPr="00A3405B" w:rsidRDefault="005D5DB3" w:rsidP="006932DD">
      <w:pPr>
        <w:pStyle w:val="Funote"/>
      </w:pPr>
      <w:r w:rsidRPr="00A3405B">
        <w:rPr>
          <w:rStyle w:val="Funotenzeichen"/>
        </w:rPr>
        <w:footnoteRef/>
      </w:r>
      <w:r>
        <w:rPr>
          <w:rStyle w:val="Funotenzeichen"/>
        </w:rPr>
        <w:t xml:space="preserve"> </w:t>
      </w:r>
      <w:r>
        <w:tab/>
      </w:r>
      <w:r w:rsidRPr="00042F44">
        <w:rPr>
          <w:i/>
        </w:rPr>
        <w:t>Lorenz/Raabe</w:t>
      </w:r>
      <w:r>
        <w:t>, in: Säcker, Energierecht, Band 1 (Teil 1), EnWG</w:t>
      </w:r>
      <w:r w:rsidRPr="00A3405B">
        <w:t xml:space="preserve">, § 21g Rn. </w:t>
      </w:r>
      <w:r>
        <w:t>17</w:t>
      </w:r>
      <w:r w:rsidRPr="00A3405B">
        <w:t>.</w:t>
      </w:r>
    </w:p>
  </w:footnote>
  <w:footnote w:id="14">
    <w:p w:rsidR="005D5DB3" w:rsidRPr="00CC3CC9" w:rsidRDefault="005D5DB3" w:rsidP="006932DD">
      <w:pPr>
        <w:pStyle w:val="Funote"/>
      </w:pPr>
      <w:r w:rsidRPr="00A3405B">
        <w:rPr>
          <w:rStyle w:val="Funotenzeichen"/>
        </w:rPr>
        <w:footnoteRef/>
      </w:r>
      <w:r>
        <w:rPr>
          <w:rStyle w:val="Funotenzeichen"/>
        </w:rPr>
        <w:t xml:space="preserve"> </w:t>
      </w:r>
      <w:r>
        <w:tab/>
      </w:r>
      <w:r w:rsidRPr="00042F44">
        <w:rPr>
          <w:i/>
        </w:rPr>
        <w:t>Weis/Pallas/Lorenz/Raabe</w:t>
      </w:r>
      <w:r w:rsidRPr="00CC3CC9">
        <w:t xml:space="preserve">, in: </w:t>
      </w:r>
      <w:r w:rsidRPr="00042F44">
        <w:t>Boesche/Franz/Fest/Gaul,</w:t>
      </w:r>
      <w:r w:rsidRPr="00CC3CC9">
        <w:t xml:space="preserve"> Berliner Handbuch zur Elektromobilität, S.</w:t>
      </w:r>
      <w:r>
        <w:t> </w:t>
      </w:r>
      <w:r w:rsidRPr="00CC3CC9">
        <w:t>304.</w:t>
      </w:r>
    </w:p>
  </w:footnote>
  <w:footnote w:id="15">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7dbc0fd9-547b-47ab-baa8-da04fcb068ac PFBsYWNlaG9sZGVyPg0KICA8QWRkSW5WZXJzaW9uPjQuNC4wLjI4PC9BZGRJblZlcnNpb24+DQogIDxJZD43ZGJjMGZkOS01NDdiLTQ3YWItYmFhOC1kYTA0ZmNiMDY4YW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Rn. 64 und 81.</w:t>
      </w:r>
    </w:p>
  </w:footnote>
  <w:footnote w:id="16">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2277ef67-fede-41e0-92f3-61e3a638b611 PFBsYWNlaG9sZGVyPg0KICA8QWRkSW5WZXJzaW9uPjQuNC4wLjI4PC9BZGRJblZlcnNpb24+DQogIDxJZD4yMjc3ZWY2Ny1mZWRlLTQxZTAtOTJmMy02MWUzYTYzOGI2MTE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Rn. 96 und 97.</w:t>
      </w:r>
    </w:p>
  </w:footnote>
  <w:footnote w:id="17">
    <w:p w:rsidR="005D5DB3" w:rsidRPr="00015448"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fe67d215-c794-48da-a4e2-a5bd33122683 PFBsYWNlaG9sZGVyPg0KICA8QWRkSW5WZXJzaW9uPjQuNC4wLjI4PC9BZGRJblZlcnNpb24+DQogIDxJZD5mZTY3ZDIxNS1jNzk0LTQ4ZGEtYTRlMi1hNWJkMzMxMjI2OD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Berliner Kommentar zum Energierecht,</w:t>
      </w:r>
      <w:r>
        <w:fldChar w:fldCharType="end"/>
      </w:r>
      <w:r>
        <w:t xml:space="preserve"> Band 1, Teil 1, § 21 h Rn. 2; </w:t>
      </w:r>
      <w:r>
        <w:fldChar w:fldCharType="begin"/>
      </w:r>
      <w:r>
        <w:instrText>ADDIN CITAVI.PLACEHOLDER f2d9d4a3-2cca-46bf-a0a8-122083bec8a7 PFBsYWNlaG9sZGVyPg0KICA8QWRkSW5WZXJzaW9uPjQuNC4wLjI4PC9BZGRJblZlcnNpb24+DQogIDxJZD5mMmQ5ZDRhMy0yY2NhLTQ2YmYtYTBhOC0xMjIwODNiZWM4YTc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w:instrText>
      </w:r>
      <w:r w:rsidRPr="00015448">
        <w:instrText>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015448">
        <w:rPr>
          <w:i/>
        </w:rPr>
        <w:t>Raabe/Lorenz/Pallas/Weis</w:t>
      </w:r>
      <w:r w:rsidRPr="00015448">
        <w:t>, CR 2011</w:t>
      </w:r>
      <w:r>
        <w:fldChar w:fldCharType="end"/>
      </w:r>
      <w:r w:rsidRPr="00015448">
        <w:t>, S. 831, 837.</w:t>
      </w:r>
    </w:p>
  </w:footnote>
  <w:footnote w:id="18">
    <w:p w:rsidR="005D5DB3" w:rsidRPr="006932DD" w:rsidRDefault="005D5DB3" w:rsidP="006932DD">
      <w:pPr>
        <w:pStyle w:val="Funote"/>
        <w:rPr>
          <w:szCs w:val="24"/>
        </w:rPr>
      </w:pPr>
      <w:r w:rsidRPr="006932DD">
        <w:rPr>
          <w:rStyle w:val="Funotenzeichen"/>
          <w:szCs w:val="24"/>
        </w:rPr>
        <w:footnoteRef/>
      </w:r>
      <w:r w:rsidRPr="006932DD">
        <w:rPr>
          <w:szCs w:val="24"/>
        </w:rPr>
        <w:t xml:space="preserve"> </w:t>
      </w:r>
      <w:r>
        <w:rPr>
          <w:szCs w:val="24"/>
        </w:rPr>
        <w:tab/>
      </w:r>
      <w:r w:rsidRPr="006932DD">
        <w:rPr>
          <w:i/>
          <w:szCs w:val="24"/>
        </w:rPr>
        <w:t>Gola/Schomerus</w:t>
      </w:r>
      <w:r w:rsidRPr="006932DD">
        <w:rPr>
          <w:szCs w:val="24"/>
        </w:rPr>
        <w:t>, § 34 Rn.1.</w:t>
      </w:r>
    </w:p>
  </w:footnote>
  <w:footnote w:id="19">
    <w:p w:rsidR="005D5DB3" w:rsidRPr="001F50A9" w:rsidRDefault="005D5DB3" w:rsidP="006932DD">
      <w:pPr>
        <w:pStyle w:val="Funote"/>
        <w:rPr>
          <w:lang w:val="en-US"/>
        </w:rPr>
      </w:pPr>
      <w:r>
        <w:rPr>
          <w:rStyle w:val="Funotenzeichen"/>
        </w:rPr>
        <w:footnoteRef/>
      </w:r>
      <w:r w:rsidRPr="00161719">
        <w:t xml:space="preserve"> </w:t>
      </w:r>
      <w:r>
        <w:tab/>
      </w:r>
      <w:r w:rsidRPr="00042F44">
        <w:rPr>
          <w:i/>
        </w:rPr>
        <w:t>Lorenz/Raabe</w:t>
      </w:r>
      <w:r>
        <w:t xml:space="preserve"> , in: </w:t>
      </w:r>
      <w:r>
        <w:fldChar w:fldCharType="begin"/>
      </w:r>
      <w:r>
        <w:instrText>ADDIN CITAVI.PLACEHOLDER 8a663f1a-16eb-4c8e-99d5-8824f77514a6 PFBsYWNlaG9sZGVyPg0KICA8QWRkSW5WZXJzaW9uPjQuNC4wLjI4PC9BZGRJblZlcnNpb24+DQogIDxJZD44YTY2M2YxYS0xNmViLTRjOGUtOTlkNS04ODI0Zjc3NTE0YTY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Berliner Kommentar zum Energierecht,</w:t>
      </w:r>
      <w:r>
        <w:fldChar w:fldCharType="end"/>
      </w:r>
      <w:r>
        <w:t xml:space="preserve"> Band 1, Teil 1, § 21 h Rn. 2; </w:t>
      </w:r>
      <w:r>
        <w:fldChar w:fldCharType="begin"/>
      </w:r>
      <w:r>
        <w:instrText>ADDIN CITAVI.PLACEHOLDER 6b03aa57-69c3-4087-a99f-de5385997315 PFBsYWNlaG9sZGVyPg0KICA8QWRkSW5WZXJzaW9uPjQuNC4wLjI4PC9BZGRJblZlcnNpb24+DQogIDxJZD42YjAzYWE1Ny02OWMzLTQwODctYTk5Zi1kZTUzODU5OTczMTU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w:instrText>
      </w:r>
      <w:r w:rsidRPr="001F50A9">
        <w:rPr>
          <w:lang w:val="en-US"/>
        </w:rPr>
        <w:instrText>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1F50A9">
        <w:rPr>
          <w:i/>
          <w:lang w:val="en-US"/>
        </w:rPr>
        <w:t>Raabe/Lorenz/Pallas/Weis</w:t>
      </w:r>
      <w:r w:rsidRPr="001F50A9">
        <w:rPr>
          <w:lang w:val="en-US"/>
        </w:rPr>
        <w:t>, CR 2011</w:t>
      </w:r>
      <w:r>
        <w:fldChar w:fldCharType="end"/>
      </w:r>
      <w:r w:rsidRPr="001F50A9">
        <w:rPr>
          <w:lang w:val="en-US"/>
        </w:rPr>
        <w:t>, S. 831, 838.</w:t>
      </w:r>
    </w:p>
  </w:footnote>
  <w:footnote w:id="20">
    <w:p w:rsidR="005D5DB3" w:rsidRPr="001F50A9" w:rsidRDefault="005D5DB3" w:rsidP="006932DD">
      <w:pPr>
        <w:pStyle w:val="Funote"/>
        <w:rPr>
          <w:szCs w:val="24"/>
          <w:lang w:val="en-US"/>
        </w:rPr>
      </w:pPr>
      <w:r w:rsidRPr="006932DD">
        <w:rPr>
          <w:rStyle w:val="Funotenzeichen"/>
          <w:szCs w:val="24"/>
        </w:rPr>
        <w:footnoteRef/>
      </w:r>
      <w:r w:rsidRPr="001F50A9">
        <w:rPr>
          <w:szCs w:val="24"/>
          <w:lang w:val="en-US"/>
        </w:rPr>
        <w:t xml:space="preserve"> </w:t>
      </w:r>
      <w:r w:rsidRPr="001F50A9">
        <w:rPr>
          <w:szCs w:val="24"/>
          <w:lang w:val="en-US"/>
        </w:rPr>
        <w:tab/>
      </w:r>
      <w:r w:rsidRPr="001F50A9">
        <w:rPr>
          <w:i/>
          <w:szCs w:val="24"/>
          <w:lang w:val="en-US"/>
        </w:rPr>
        <w:t>Dix</w:t>
      </w:r>
      <w:r w:rsidRPr="001F50A9">
        <w:rPr>
          <w:szCs w:val="24"/>
          <w:lang w:val="en-US"/>
        </w:rPr>
        <w:t xml:space="preserve"> in: Simitis, § 42a Rn. 1.</w:t>
      </w:r>
    </w:p>
  </w:footnote>
  <w:footnote w:id="21">
    <w:p w:rsidR="005D5DB3" w:rsidRDefault="005D5DB3" w:rsidP="006932DD">
      <w:pPr>
        <w:pStyle w:val="Funote"/>
      </w:pPr>
      <w:r w:rsidRPr="00042F44">
        <w:rPr>
          <w:rStyle w:val="Funotenzeichen"/>
          <w:i/>
        </w:rPr>
        <w:footnoteRef/>
      </w:r>
      <w:r w:rsidRPr="00042F44">
        <w:rPr>
          <w:i/>
        </w:rPr>
        <w:t xml:space="preserve"> </w:t>
      </w:r>
      <w:r>
        <w:rPr>
          <w:i/>
        </w:rPr>
        <w:tab/>
      </w:r>
      <w:r w:rsidRPr="00042F44">
        <w:rPr>
          <w:i/>
        </w:rPr>
        <w:t>Lorenz/Raabe</w:t>
      </w:r>
      <w:r>
        <w:t xml:space="preserve">, in: </w:t>
      </w:r>
      <w:r>
        <w:fldChar w:fldCharType="begin"/>
      </w:r>
      <w:r>
        <w:instrText>ADDIN CITAVI.PLACEHOLDER 4e38f57c-896c-4802-a97f-aba7a48b9f93 PFBsYWNlaG9sZGVyPg0KICA8QWRkSW5WZXJzaW9uPjQuNC4wLjI4PC9BZGRJblZlcnNpb24+DQogIDxJZD40ZTM4ZjU3Yy04OTZjLTQ4MDItYTk3Zi1hYmE3YTQ4YjlmOT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Rn. 2; </w:t>
      </w:r>
      <w:r>
        <w:fldChar w:fldCharType="begin"/>
      </w:r>
      <w:r>
        <w:instrText>ADDIN CITAVI.PLACEHOLDER a924ded2-dd8b-4af2-83c6-7d0b4a2a1ada PFBsYWNlaG9sZGVyPg0KICA8QWRkSW5WZXJzaW9uPjQuNC4wLjI4PC9BZGRJblZlcnNpb24+DQogIDxJZD5hOTI0ZGVkMi1kZDhiLTRhZjItODNjNi03ZDBiNGEyYTFhZGE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22">
    <w:p w:rsidR="005D5DB3" w:rsidRPr="00A3405B" w:rsidRDefault="005D5DB3" w:rsidP="006932DD">
      <w:pPr>
        <w:pStyle w:val="Funote"/>
      </w:pPr>
      <w:r w:rsidRPr="00A3405B">
        <w:rPr>
          <w:rStyle w:val="Funotenzeichen"/>
        </w:rPr>
        <w:footnoteRef/>
      </w:r>
      <w:r>
        <w:rPr>
          <w:rStyle w:val="Funotenzeichen"/>
        </w:rPr>
        <w:t xml:space="preserve"> </w:t>
      </w:r>
      <w:r>
        <w:tab/>
      </w:r>
      <w:r w:rsidRPr="00042F44">
        <w:rPr>
          <w:i/>
        </w:rPr>
        <w:t>Raabe/Lorenz/Pallas/Weis</w:t>
      </w:r>
      <w:r w:rsidRPr="00A3405B">
        <w:t>, CR 2011, 831, 831.</w:t>
      </w:r>
    </w:p>
  </w:footnote>
  <w:footnote w:id="23">
    <w:p w:rsidR="005D5DB3" w:rsidRPr="00A3405B" w:rsidRDefault="005D5DB3" w:rsidP="006932DD">
      <w:pPr>
        <w:pStyle w:val="Funote"/>
      </w:pPr>
      <w:r w:rsidRPr="00A3405B">
        <w:rPr>
          <w:rStyle w:val="Funotenzeichen"/>
        </w:rPr>
        <w:footnoteRef/>
      </w:r>
      <w:r>
        <w:rPr>
          <w:rStyle w:val="Funotenzeichen"/>
        </w:rPr>
        <w:t xml:space="preserve"> </w:t>
      </w:r>
      <w:r>
        <w:tab/>
        <w:t xml:space="preserve">Hierzu </w:t>
      </w:r>
      <w:r w:rsidRPr="00042F44">
        <w:rPr>
          <w:i/>
        </w:rPr>
        <w:t>Wieczorek,</w:t>
      </w:r>
      <w:r w:rsidRPr="00A3405B">
        <w:t xml:space="preserve"> in: Taeger, Big Data &amp; Co – Neue Herausforderungen für das Informationsrecht, </w:t>
      </w:r>
      <w:r>
        <w:t>S. </w:t>
      </w:r>
      <w:r w:rsidRPr="00A3405B">
        <w:t>448 ff.</w:t>
      </w:r>
    </w:p>
  </w:footnote>
  <w:footnote w:id="24">
    <w:p w:rsidR="005D5DB3" w:rsidRPr="00042F44" w:rsidRDefault="005D5DB3" w:rsidP="006932DD">
      <w:pPr>
        <w:pStyle w:val="Funote"/>
      </w:pPr>
      <w:r>
        <w:rPr>
          <w:rStyle w:val="Funotenzeichen"/>
        </w:rPr>
        <w:footnoteRef/>
      </w:r>
      <w:r>
        <w:t xml:space="preserve"> </w:t>
      </w:r>
      <w:r>
        <w:tab/>
      </w:r>
      <w:r w:rsidRPr="00042F44">
        <w:t>Bezüglich der Verabschiedung der erforderlichen Verordnungen legte die Bundesr</w:t>
      </w:r>
      <w:r w:rsidRPr="00042F44">
        <w:t>e</w:t>
      </w:r>
      <w:r w:rsidRPr="00042F44">
        <w:t>gierung im Februar 2015 das Verordnungspaket Intelligente Netze vor. Darin wurden drei konkrete Verordnungsvorhaben angeführt: Eine Messsystemverordnung als technische Grundlagenverordnung, welche schon in einer Entwurfsfassung als MsysV-E seit längerer Zeit vorlag, eine Datenkommunikationsverordnung, die den zulässigen Datenumgang regeln soll, sowie eine „Rollout“-Verordnung zu den Fr</w:t>
      </w:r>
      <w:r w:rsidRPr="00042F44">
        <w:t>a</w:t>
      </w:r>
      <w:r w:rsidRPr="00042F44">
        <w:t>gen der tatsächlichen Umsetzung und Finanzierung der intelligenten Messsysteme. Vgl. BMWi, Verordnungspaket Intelligente Netze, S. 2.</w:t>
      </w:r>
    </w:p>
    <w:p w:rsidR="005D5DB3" w:rsidRPr="00042F44" w:rsidRDefault="005D5DB3" w:rsidP="006932DD">
      <w:pPr>
        <w:pStyle w:val="Funote"/>
      </w:pPr>
      <w:r>
        <w:tab/>
      </w:r>
      <w:r w:rsidRPr="00042F44">
        <w:t>Da jedoch in der Vielzahl der Verordnungsermächtigungen nach § 21i EnWG die Gefahr vermutet wurde, dass das Energiewirtschaftsrecht hierdurch zu komplex und zersplittert geregelt würde, wurde in Art. 1 des Entwurfs eines Gesetzes zur Digital</w:t>
      </w:r>
      <w:r w:rsidRPr="00042F44">
        <w:t>i</w:t>
      </w:r>
      <w:r w:rsidRPr="00042F44">
        <w:t>sierung der Energiewende das MsbG als „Stammgesetz“ vorgeschlagen. Darin sollen nunmehr die grundrechtsrelevanten Regelungen des Energierechts im Sinne der Ve</w:t>
      </w:r>
      <w:r w:rsidRPr="00042F44">
        <w:t>r</w:t>
      </w:r>
      <w:r w:rsidRPr="00042F44">
        <w:t xml:space="preserve">fahrensklarheit einheitlich geregelt werden. </w:t>
      </w:r>
    </w:p>
  </w:footnote>
  <w:footnote w:id="25">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ebe68a02-fc66-442c-807e-a9f0867dfe37 PFBsYWNlaG9sZGVyPg0KICA8QWRkSW5WZXJzaW9uPjQuNC4wLjI4PC9BZGRJblZlcnNpb24+DQogIDxJZD5lYmU2OGEwMi1mYzY2LTQ0MmMtODA3ZS1hOWYwODY3ZGZlMzc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Rn. 2; </w:t>
      </w:r>
      <w:r>
        <w:fldChar w:fldCharType="begin"/>
      </w:r>
      <w:r>
        <w:instrText>ADDIN CITAVI.PLACEHOLDER 685706d5-5845-4cce-9264-7035d42ba608 PFBsYWNlaG9sZGVyPg0KICA8QWRkSW5WZXJzaW9uPjQuNC4wLjI4PC9BZGRJblZlcnNpb24+DQogIDxJZD42ODU3MDZkNS01ODQ1LTRjY2UtOTI2NC03MDM1ZDQyYmE2MDg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26">
    <w:p w:rsidR="005D5DB3" w:rsidRPr="00A3405B" w:rsidRDefault="005D5DB3" w:rsidP="006932DD">
      <w:pPr>
        <w:pStyle w:val="Funote"/>
      </w:pPr>
      <w:r w:rsidRPr="00A3405B">
        <w:rPr>
          <w:rStyle w:val="Funotenzeichen"/>
        </w:rPr>
        <w:footnoteRef/>
      </w:r>
      <w:r>
        <w:rPr>
          <w:rStyle w:val="Funotenzeichen"/>
        </w:rPr>
        <w:t xml:space="preserve"> </w:t>
      </w:r>
      <w:r>
        <w:tab/>
      </w:r>
      <w:r w:rsidRPr="006932DD">
        <w:rPr>
          <w:i/>
        </w:rPr>
        <w:t>Jandt/Roßnagel/Volland</w:t>
      </w:r>
      <w:r>
        <w:t xml:space="preserve">, </w:t>
      </w:r>
      <w:r w:rsidRPr="00A3405B">
        <w:t>ZD 2011, 99, 101.</w:t>
      </w:r>
    </w:p>
  </w:footnote>
  <w:footnote w:id="27">
    <w:p w:rsidR="005D5DB3" w:rsidRPr="008342CF" w:rsidRDefault="005D5DB3" w:rsidP="006932DD">
      <w:pPr>
        <w:pStyle w:val="Funote"/>
      </w:pPr>
      <w:r w:rsidRPr="00A3405B">
        <w:rPr>
          <w:rStyle w:val="Funotenzeichen"/>
        </w:rPr>
        <w:footnoteRef/>
      </w:r>
      <w:r>
        <w:rPr>
          <w:rStyle w:val="Funotenzeichen"/>
        </w:rPr>
        <w:t xml:space="preserve"> </w:t>
      </w:r>
      <w:r>
        <w:tab/>
      </w:r>
      <w:r w:rsidRPr="008342CF">
        <w:t xml:space="preserve">Siehe </w:t>
      </w:r>
      <w:r w:rsidRPr="008342CF">
        <w:rPr>
          <w:i/>
        </w:rPr>
        <w:t xml:space="preserve">BSI </w:t>
      </w:r>
      <w:r w:rsidRPr="008342CF">
        <w:t xml:space="preserve">Schutzprofil für ein Smart Meter Gateway (BSI-CC-PP-0073) sowie </w:t>
      </w:r>
      <w:r>
        <w:br/>
      </w:r>
      <w:r w:rsidRPr="008342CF">
        <w:t xml:space="preserve">BSI Schutzprofil für das Sicherheitsmodul eines Smart Meter Gateways </w:t>
      </w:r>
      <w:r>
        <w:br/>
      </w:r>
      <w:r w:rsidRPr="008342CF">
        <w:t>(BSI-CC-PP-0077).</w:t>
      </w:r>
    </w:p>
  </w:footnote>
  <w:footnote w:id="28">
    <w:p w:rsidR="005D5DB3" w:rsidRPr="008342CF" w:rsidRDefault="005D5DB3" w:rsidP="006932DD">
      <w:pPr>
        <w:pStyle w:val="Funote"/>
      </w:pPr>
      <w:r w:rsidRPr="008342CF">
        <w:rPr>
          <w:rStyle w:val="Funotenzeichen"/>
          <w:i/>
        </w:rPr>
        <w:footnoteRef/>
      </w:r>
      <w:r>
        <w:rPr>
          <w:rStyle w:val="Funotenzeichen"/>
          <w:i/>
        </w:rPr>
        <w:t xml:space="preserve"> </w:t>
      </w:r>
      <w:r>
        <w:rPr>
          <w:i/>
        </w:rPr>
        <w:tab/>
      </w:r>
      <w:r w:rsidRPr="008342CF">
        <w:rPr>
          <w:i/>
        </w:rPr>
        <w:t xml:space="preserve">BSI, </w:t>
      </w:r>
      <w:r w:rsidRPr="008342CF">
        <w:t>Technische Richtlinie (TR-03109-1): Anforderungen an die Interoperabilität der Kommunikationseinheit eines intelligenten Messsystems.</w:t>
      </w:r>
    </w:p>
  </w:footnote>
  <w:footnote w:id="29">
    <w:p w:rsidR="005D5DB3" w:rsidRPr="00E25E6F" w:rsidRDefault="005D5DB3" w:rsidP="006932DD">
      <w:pPr>
        <w:pStyle w:val="Funote"/>
      </w:pPr>
      <w:r>
        <w:rPr>
          <w:rStyle w:val="Funotenzeichen"/>
        </w:rPr>
        <w:footnoteRef/>
      </w:r>
      <w:r>
        <w:rPr>
          <w:rStyle w:val="Funotenzeichen"/>
        </w:rPr>
        <w:t xml:space="preserve"> </w:t>
      </w:r>
      <w:r>
        <w:rPr>
          <w:rStyle w:val="Funotenzeichen"/>
        </w:rPr>
        <w:tab/>
      </w:r>
      <w:r>
        <w:t xml:space="preserve">Die Vorgaben des BSI sollen nach den §§ 19-28 MsbG-E verbindlich umgesetzt werden; siehe auch Begründung zu § 22 MsbG-E (Mindestanforderungen an </w:t>
      </w:r>
      <w:r>
        <w:br/>
        <w:t xml:space="preserve">das Smart Meter Gateway durch Schutzprofile und Technische Richtlinien), </w:t>
      </w:r>
      <w:r>
        <w:br/>
        <w:t xml:space="preserve">BR-Drs. </w:t>
      </w:r>
      <w:r w:rsidRPr="00E25E6F">
        <w:t>543/15, S. 128.</w:t>
      </w:r>
    </w:p>
  </w:footnote>
  <w:footnote w:id="30">
    <w:p w:rsidR="005D5DB3" w:rsidRPr="004312F1" w:rsidRDefault="005D5DB3" w:rsidP="006932DD">
      <w:pPr>
        <w:pStyle w:val="Funote"/>
      </w:pPr>
      <w:r>
        <w:rPr>
          <w:rStyle w:val="Funotenzeichen"/>
        </w:rPr>
        <w:footnoteRef/>
      </w:r>
      <w:r>
        <w:t xml:space="preserve"> </w:t>
      </w:r>
      <w:r>
        <w:tab/>
      </w:r>
      <w:r w:rsidRPr="004312F1">
        <w:t>Siehe beispielsweise</w:t>
      </w:r>
      <w:r>
        <w:t>:</w:t>
      </w:r>
      <w:r w:rsidRPr="004312F1">
        <w:t xml:space="preserve"> </w:t>
      </w:r>
      <w:r w:rsidRPr="003D3932">
        <w:rPr>
          <w:i/>
        </w:rPr>
        <w:t>Roßnagel/Jandt,</w:t>
      </w:r>
      <w:r w:rsidRPr="004312F1">
        <w:t xml:space="preserve"> Datenschutzfragen eines Energieinform</w:t>
      </w:r>
      <w:r w:rsidRPr="004312F1">
        <w:t>a</w:t>
      </w:r>
      <w:r w:rsidRPr="004312F1">
        <w:t xml:space="preserve">tionsnetzes, </w:t>
      </w:r>
      <w:r>
        <w:t xml:space="preserve">S </w:t>
      </w:r>
      <w:r w:rsidRPr="004312F1">
        <w:t xml:space="preserve">88, S. 6ff.; </w:t>
      </w:r>
      <w:r w:rsidRPr="003D3932">
        <w:rPr>
          <w:i/>
        </w:rPr>
        <w:t>Müller,</w:t>
      </w:r>
      <w:r w:rsidRPr="004312F1">
        <w:t xml:space="preserve"> DuD 2010, 359</w:t>
      </w:r>
      <w:r>
        <w:t xml:space="preserve">f. </w:t>
      </w:r>
      <w:r w:rsidRPr="004312F1">
        <w:t xml:space="preserve">; </w:t>
      </w:r>
      <w:r w:rsidRPr="003D3932">
        <w:rPr>
          <w:i/>
        </w:rPr>
        <w:t>Karg,</w:t>
      </w:r>
      <w:r>
        <w:t xml:space="preserve"> </w:t>
      </w:r>
      <w:r w:rsidRPr="004312F1">
        <w:t>DuD 2010, 365</w:t>
      </w:r>
      <w:r>
        <w:t xml:space="preserve">f. </w:t>
      </w:r>
      <w:r w:rsidRPr="004312F1">
        <w:t xml:space="preserve">; </w:t>
      </w:r>
      <w:r>
        <w:br/>
      </w:r>
      <w:r w:rsidRPr="004312F1">
        <w:t xml:space="preserve">Göge/Boers, </w:t>
      </w:r>
      <w:r>
        <w:t xml:space="preserve">ZNER 2009, S. 368f. </w:t>
      </w:r>
    </w:p>
  </w:footnote>
  <w:footnote w:id="31">
    <w:p w:rsidR="005D5DB3" w:rsidRPr="00736433" w:rsidRDefault="005D5DB3" w:rsidP="006932DD">
      <w:pPr>
        <w:pStyle w:val="Funote"/>
      </w:pPr>
      <w:r w:rsidRPr="00736433">
        <w:rPr>
          <w:rStyle w:val="Funotenzeichen"/>
        </w:rPr>
        <w:footnoteRef/>
      </w:r>
      <w:r w:rsidRPr="00736433">
        <w:t xml:space="preserve"> </w:t>
      </w:r>
      <w:r>
        <w:tab/>
      </w:r>
      <w:r w:rsidRPr="00736433">
        <w:rPr>
          <w:i/>
        </w:rPr>
        <w:t>Lorenz/Raabe,</w:t>
      </w:r>
      <w:r w:rsidRPr="00736433">
        <w:t xml:space="preserve"> in: </w:t>
      </w:r>
      <w:r w:rsidRPr="00736433">
        <w:fldChar w:fldCharType="begin"/>
      </w:r>
      <w:r w:rsidRPr="00736433">
        <w:instrText>ADDIN CITAVI.PLACEHOLDER 36082228-16a4-42f7-b9d3-aa1dfbbb6157 PFBsYWNlaG9sZGVyPg0KICA8QWRkSW5WZXJzaW9uPjQuNC4wLjI4PC9BZGRJblZlcnNpb24+DQogIDxJZD4zNjA4MjIyOC0xNmE0LTQyZjctYjlkMy1hYTFkZmJiYjYxNTc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rsidRPr="00736433">
        <w:fldChar w:fldCharType="separate"/>
      </w:r>
      <w:r w:rsidRPr="00736433">
        <w:rPr>
          <w:i/>
        </w:rPr>
        <w:t>Säcker</w:t>
      </w:r>
      <w:r w:rsidRPr="00736433">
        <w:t>, Berliner Kommentar zum Energierecht,</w:t>
      </w:r>
      <w:r w:rsidRPr="00736433">
        <w:fldChar w:fldCharType="end"/>
      </w:r>
      <w:r w:rsidRPr="00736433">
        <w:t xml:space="preserve"> Band 1, Teil 1, §</w:t>
      </w:r>
      <w:r>
        <w:t> </w:t>
      </w:r>
      <w:r w:rsidRPr="00736433">
        <w:t>21 g Rn. 2.</w:t>
      </w:r>
    </w:p>
  </w:footnote>
  <w:footnote w:id="32">
    <w:p w:rsidR="005D5DB3" w:rsidRPr="00736433" w:rsidRDefault="005D5DB3" w:rsidP="006932DD">
      <w:pPr>
        <w:pStyle w:val="Funote"/>
      </w:pPr>
      <w:r w:rsidRPr="00736433">
        <w:rPr>
          <w:rStyle w:val="Funotenzeichen"/>
        </w:rPr>
        <w:footnoteRef/>
      </w:r>
      <w:r w:rsidRPr="00736433">
        <w:t xml:space="preserve"> </w:t>
      </w:r>
      <w:r>
        <w:tab/>
      </w:r>
      <w:r w:rsidRPr="00736433">
        <w:t>BT-Drs. 17/6365, S. 12.</w:t>
      </w:r>
    </w:p>
  </w:footnote>
  <w:footnote w:id="33">
    <w:p w:rsidR="005D5DB3" w:rsidRPr="00BC0B7C" w:rsidRDefault="005D5DB3" w:rsidP="006932DD">
      <w:pPr>
        <w:pStyle w:val="Funote"/>
        <w:rPr>
          <w:rStyle w:val="FunoteZchn"/>
        </w:rPr>
      </w:pPr>
      <w:r w:rsidRPr="00736433">
        <w:rPr>
          <w:rStyle w:val="Funotenzeichen"/>
          <w:sz w:val="20"/>
        </w:rPr>
        <w:footnoteRef/>
      </w:r>
      <w:r w:rsidRPr="00736433">
        <w:rPr>
          <w:sz w:val="20"/>
        </w:rPr>
        <w:t xml:space="preserve"> </w:t>
      </w:r>
      <w:r>
        <w:rPr>
          <w:sz w:val="20"/>
        </w:rPr>
        <w:tab/>
      </w:r>
      <w:r w:rsidRPr="00BC0B7C">
        <w:rPr>
          <w:rStyle w:val="FunoteZchn"/>
        </w:rPr>
        <w:t>So Brändle, VW-online, DokNr. 11001050, S. 8 mit Verweis auf die Gegenäußerung der Bundesregierung in BT-Drs. 17/6248, S. 40</w:t>
      </w:r>
      <w:r>
        <w:rPr>
          <w:rStyle w:val="FunoteZchn"/>
        </w:rPr>
        <w:t>.</w:t>
      </w:r>
    </w:p>
  </w:footnote>
  <w:footnote w:id="34">
    <w:p w:rsidR="005D5DB3" w:rsidRPr="00736433" w:rsidRDefault="005D5DB3" w:rsidP="006932DD">
      <w:pPr>
        <w:pStyle w:val="Funote"/>
      </w:pPr>
      <w:r w:rsidRPr="00736433">
        <w:rPr>
          <w:rStyle w:val="Funotenzeichen"/>
        </w:rPr>
        <w:footnoteRef/>
      </w:r>
      <w:r w:rsidRPr="00736433">
        <w:t xml:space="preserve"> </w:t>
      </w:r>
      <w:r>
        <w:tab/>
      </w:r>
      <w:r w:rsidRPr="00736433">
        <w:t>BGBl. I 2011, S. 1554</w:t>
      </w:r>
    </w:p>
  </w:footnote>
  <w:footnote w:id="35">
    <w:p w:rsidR="005D5DB3" w:rsidRDefault="005D5DB3" w:rsidP="006932DD">
      <w:pPr>
        <w:spacing w:after="0" w:line="240" w:lineRule="auto"/>
        <w:ind w:left="397" w:hanging="397"/>
      </w:pPr>
      <w:r w:rsidRPr="00736433">
        <w:rPr>
          <w:rStyle w:val="Funotenzeichen"/>
          <w:sz w:val="20"/>
          <w:szCs w:val="20"/>
        </w:rPr>
        <w:footnoteRef/>
      </w:r>
      <w:r w:rsidRPr="00736433">
        <w:rPr>
          <w:sz w:val="20"/>
          <w:szCs w:val="20"/>
        </w:rPr>
        <w:t xml:space="preserve"> </w:t>
      </w:r>
      <w:r>
        <w:rPr>
          <w:sz w:val="20"/>
          <w:szCs w:val="20"/>
        </w:rPr>
        <w:tab/>
      </w:r>
      <w:r w:rsidRPr="006932DD">
        <w:rPr>
          <w:rStyle w:val="FunoteZchn"/>
        </w:rPr>
        <w:t>Vgl. Ronellenfitsch, Hessischer Datenschutzbeauftrager als Vorsitzender der Konf</w:t>
      </w:r>
      <w:r w:rsidRPr="006932DD">
        <w:rPr>
          <w:rStyle w:val="FunoteZchn"/>
        </w:rPr>
        <w:t>e</w:t>
      </w:r>
      <w:r w:rsidRPr="006932DD">
        <w:rPr>
          <w:rStyle w:val="FunoteZchn"/>
        </w:rPr>
        <w:t>renz der Datenschutzbeauftragten des Bundes und der Länder vor der Bundespress</w:t>
      </w:r>
      <w:r w:rsidRPr="006932DD">
        <w:rPr>
          <w:rStyle w:val="FunoteZchn"/>
        </w:rPr>
        <w:t>e</w:t>
      </w:r>
      <w:r w:rsidRPr="006932DD">
        <w:rPr>
          <w:rStyle w:val="FunoteZchn"/>
        </w:rPr>
        <w:t xml:space="preserve">konferenz vom 26.08.2015: „Die Einwilligung des Einzelnen muss die Datenhoheit sichern“, </w:t>
      </w:r>
      <w:r>
        <w:rPr>
          <w:rStyle w:val="FunoteZchn"/>
        </w:rPr>
        <w:br/>
      </w:r>
      <w:r w:rsidRPr="006932DD">
        <w:rPr>
          <w:rStyle w:val="FunoteZchn"/>
        </w:rPr>
        <w:t>https://www.baden-wuerttemberg.datenschutz.de/wp-content/uploads/2013/02/DSK-PE-f%C3%BCr-BPK-Trilog-Deu-Final.pdf (abgerufen am 26.11.2016).</w:t>
      </w:r>
    </w:p>
  </w:footnote>
  <w:footnote w:id="36">
    <w:p w:rsidR="005D5DB3" w:rsidRPr="00127583" w:rsidRDefault="005D5DB3" w:rsidP="00400AF9">
      <w:pPr>
        <w:pStyle w:val="Funote"/>
      </w:pPr>
      <w:r w:rsidRPr="00127583">
        <w:rPr>
          <w:rStyle w:val="Funotenzeichen"/>
        </w:rPr>
        <w:footnoteRef/>
      </w:r>
      <w:r w:rsidRPr="00127583">
        <w:t xml:space="preserve"> </w:t>
      </w:r>
      <w:r>
        <w:tab/>
      </w:r>
      <w:r w:rsidRPr="00BC0B7C">
        <w:rPr>
          <w:rStyle w:val="FunoteZchn"/>
        </w:rPr>
        <w:t xml:space="preserve">Diese Einwilligung wurde erst gegen Ende des Beratungsverfahrens in das Gesetz </w:t>
      </w:r>
      <w:r w:rsidRPr="00400AF9">
        <w:rPr>
          <w:rStyle w:val="FunoteZchn"/>
          <w:w w:val="98"/>
        </w:rPr>
        <w:t>eingefügt. Siehe hierzu auch ausführlich Brändle, VW-online, DokNr. 11001050, S. 4.</w:t>
      </w:r>
      <w:r>
        <w:rPr>
          <w:rFonts w:eastAsia="Times New Roman"/>
          <w:w w:val="98"/>
          <w:sz w:val="18"/>
          <w:szCs w:val="18"/>
        </w:rPr>
        <w:t xml:space="preserve"> </w:t>
      </w:r>
    </w:p>
  </w:footnote>
  <w:footnote w:id="37">
    <w:p w:rsidR="005D5DB3" w:rsidRPr="00127583" w:rsidRDefault="005D5DB3" w:rsidP="00400AF9">
      <w:pPr>
        <w:pStyle w:val="Funote"/>
      </w:pPr>
      <w:r w:rsidRPr="00127583">
        <w:rPr>
          <w:rStyle w:val="Funotenzeichen"/>
        </w:rPr>
        <w:footnoteRef/>
      </w:r>
      <w:r w:rsidRPr="00127583">
        <w:t xml:space="preserve"> </w:t>
      </w:r>
      <w:r>
        <w:tab/>
      </w:r>
      <w:r w:rsidRPr="00127583">
        <w:t>Vgl. BR-Dr</w:t>
      </w:r>
      <w:r>
        <w:t>uck</w:t>
      </w:r>
      <w:r w:rsidRPr="00127583">
        <w:t>s. 343/11 S. 196.</w:t>
      </w:r>
    </w:p>
  </w:footnote>
  <w:footnote w:id="38">
    <w:p w:rsidR="005D5DB3" w:rsidRPr="00D654A7" w:rsidRDefault="005D5DB3" w:rsidP="00400AF9">
      <w:pPr>
        <w:pStyle w:val="Funote"/>
        <w:rPr>
          <w:sz w:val="18"/>
          <w:szCs w:val="18"/>
        </w:rPr>
      </w:pPr>
      <w:r w:rsidRPr="00F556ED">
        <w:rPr>
          <w:rStyle w:val="Funotenzeichen"/>
          <w:szCs w:val="23"/>
        </w:rPr>
        <w:footnoteRef/>
      </w:r>
      <w:r w:rsidRPr="00F556ED">
        <w:rPr>
          <w:szCs w:val="23"/>
        </w:rPr>
        <w:t xml:space="preserve"> </w:t>
      </w:r>
      <w:r>
        <w:rPr>
          <w:szCs w:val="23"/>
        </w:rPr>
        <w:tab/>
      </w:r>
      <w:r w:rsidRPr="00F556ED">
        <w:rPr>
          <w:rStyle w:val="FunoteZchn"/>
        </w:rPr>
        <w:t>BVerfGE 65, 1, 44.</w:t>
      </w:r>
    </w:p>
  </w:footnote>
  <w:footnote w:id="39">
    <w:p w:rsidR="005D5DB3" w:rsidRPr="00BC0B7C" w:rsidRDefault="005D5DB3" w:rsidP="00400AF9">
      <w:pPr>
        <w:pStyle w:val="Funote"/>
        <w:rPr>
          <w:rStyle w:val="FunoteZchn"/>
        </w:rPr>
      </w:pPr>
      <w:r w:rsidRPr="00F556ED">
        <w:rPr>
          <w:rStyle w:val="Funotenzeichen"/>
          <w:szCs w:val="23"/>
        </w:rPr>
        <w:footnoteRef/>
      </w:r>
      <w:r w:rsidRPr="00F556ED">
        <w:rPr>
          <w:szCs w:val="23"/>
        </w:rPr>
        <w:t xml:space="preserve"> </w:t>
      </w:r>
      <w:r>
        <w:rPr>
          <w:szCs w:val="23"/>
        </w:rPr>
        <w:tab/>
      </w:r>
      <w:r w:rsidRPr="00BC0B7C">
        <w:rPr>
          <w:rStyle w:val="FunoteZchn"/>
        </w:rPr>
        <w:t>Bizer, DuD 2007, 350, 352.</w:t>
      </w:r>
    </w:p>
  </w:footnote>
  <w:footnote w:id="40">
    <w:p w:rsidR="005D5DB3" w:rsidRDefault="005D5DB3" w:rsidP="00400AF9">
      <w:pPr>
        <w:pStyle w:val="Funote"/>
      </w:pPr>
      <w:r>
        <w:rPr>
          <w:rStyle w:val="Funotenzeichen"/>
        </w:rPr>
        <w:footnoteRef/>
      </w:r>
      <w:r>
        <w:t xml:space="preserve"> </w:t>
      </w:r>
      <w:r>
        <w:tab/>
      </w:r>
      <w:r w:rsidRPr="007C51A5">
        <w:t xml:space="preserve">Der Katalog der </w:t>
      </w:r>
      <w:r>
        <w:t xml:space="preserve">gesetzlichen </w:t>
      </w:r>
      <w:r w:rsidRPr="007C51A5">
        <w:t>Erlaubnistatbestände ist abschließend in § 21g Abs. 1 Nr. 1-8 EnWG geregelt. Aufgrund des abschließenden Charakters der Regelung gibt es allerdings keine Möglichkeit, weitere sinnvolle Zulässigkeitstatbestände über die Verordnungsermächtigung des § 21i Abs. 1 Nr. 4 EnWG einzuführen. Sofern also zukünftig neue Dienstangebote für Energieeffizienzdienste entwickelt werden sol</w:t>
      </w:r>
      <w:r w:rsidRPr="007C51A5">
        <w:t>l</w:t>
      </w:r>
      <w:r w:rsidRPr="007C51A5">
        <w:t>ten, die nicht dem Katalog entsprechen, müssten diese im Wege einer Gesetz</w:t>
      </w:r>
      <w:r>
        <w:t>esänd</w:t>
      </w:r>
      <w:r>
        <w:t>e</w:t>
      </w:r>
      <w:r>
        <w:t xml:space="preserve">rung legitimiert werden. </w:t>
      </w:r>
    </w:p>
  </w:footnote>
  <w:footnote w:id="41">
    <w:p w:rsidR="005D5DB3" w:rsidRPr="00D654A7" w:rsidRDefault="005D5DB3" w:rsidP="00400AF9">
      <w:pPr>
        <w:pStyle w:val="Funote"/>
        <w:rPr>
          <w:sz w:val="18"/>
          <w:szCs w:val="18"/>
        </w:rPr>
      </w:pPr>
      <w:r w:rsidRPr="00F556ED">
        <w:rPr>
          <w:rStyle w:val="Funotenzeichen"/>
          <w:szCs w:val="23"/>
        </w:rPr>
        <w:footnoteRef/>
      </w:r>
      <w:r>
        <w:rPr>
          <w:sz w:val="18"/>
          <w:szCs w:val="18"/>
        </w:rPr>
        <w:t xml:space="preserve"> </w:t>
      </w:r>
      <w:r>
        <w:rPr>
          <w:sz w:val="18"/>
          <w:szCs w:val="18"/>
        </w:rPr>
        <w:tab/>
      </w:r>
      <w:r w:rsidRPr="00F556ED">
        <w:rPr>
          <w:rStyle w:val="FunoteZchn"/>
        </w:rPr>
        <w:t>BR-Drs. 343/11 S. 202.</w:t>
      </w:r>
    </w:p>
  </w:footnote>
  <w:footnote w:id="42">
    <w:p w:rsidR="005D5DB3" w:rsidRDefault="005D5DB3" w:rsidP="00400AF9">
      <w:pPr>
        <w:pStyle w:val="Funote"/>
      </w:pPr>
      <w:r>
        <w:rPr>
          <w:rStyle w:val="Funotenzeichen"/>
        </w:rPr>
        <w:footnoteRef/>
      </w:r>
      <w:r>
        <w:t xml:space="preserve"> </w:t>
      </w:r>
      <w:r>
        <w:tab/>
      </w:r>
      <w:r w:rsidRPr="00DB42F6">
        <w:t>Teil 2 B.II.1.d.</w:t>
      </w:r>
    </w:p>
  </w:footnote>
  <w:footnote w:id="43">
    <w:p w:rsidR="005D5DB3" w:rsidRDefault="005D5DB3" w:rsidP="00400AF9">
      <w:pPr>
        <w:pStyle w:val="Funote"/>
      </w:pPr>
      <w:r w:rsidRPr="00FE7D1F">
        <w:rPr>
          <w:rStyle w:val="Funotenzeichen"/>
        </w:rPr>
        <w:footnoteRef/>
      </w:r>
      <w:r>
        <w:t xml:space="preserve"> </w:t>
      </w:r>
      <w:r>
        <w:tab/>
      </w:r>
      <w:r w:rsidRPr="003D3932">
        <w:rPr>
          <w:i/>
        </w:rPr>
        <w:t>Windoffer/Groß</w:t>
      </w:r>
      <w:r>
        <w:t>, VerArch 2012, 491, 506.</w:t>
      </w:r>
    </w:p>
  </w:footnote>
  <w:footnote w:id="44">
    <w:p w:rsidR="005D5DB3" w:rsidRDefault="005D5DB3" w:rsidP="00400AF9">
      <w:pPr>
        <w:pStyle w:val="Funote"/>
      </w:pPr>
      <w:r>
        <w:rPr>
          <w:rStyle w:val="Funotenzeichen"/>
        </w:rPr>
        <w:footnoteRef/>
      </w:r>
      <w:r>
        <w:t xml:space="preserve"> </w:t>
      </w:r>
      <w:r>
        <w:tab/>
      </w:r>
      <w:r w:rsidRPr="003D3932">
        <w:rPr>
          <w:i/>
        </w:rPr>
        <w:t>Lüdemann/Sengstacken</w:t>
      </w:r>
      <w:r>
        <w:t xml:space="preserve">, ZNER 2013, 592, 594. </w:t>
      </w:r>
    </w:p>
  </w:footnote>
  <w:footnote w:id="45">
    <w:p w:rsidR="005D5DB3" w:rsidRDefault="005D5DB3" w:rsidP="00400AF9">
      <w:pPr>
        <w:pStyle w:val="Funote"/>
      </w:pPr>
      <w:r w:rsidRPr="00FE7D1F">
        <w:rPr>
          <w:rStyle w:val="Funotenzeichen"/>
        </w:rPr>
        <w:footnoteRef/>
      </w:r>
      <w:r>
        <w:t xml:space="preserve"> </w:t>
      </w:r>
      <w:r>
        <w:tab/>
      </w:r>
      <w:r>
        <w:fldChar w:fldCharType="begin"/>
      </w:r>
      <w:r>
        <w:instrText>ADDIN CITAVI.PLACEHOLDER feb53a78-f667-4f91-a08c-e660f967f8dc 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</w:instrText>
      </w:r>
      <w:r>
        <w:fldChar w:fldCharType="separate"/>
      </w:r>
      <w:r w:rsidRPr="00523A41">
        <w:rPr>
          <w:i/>
        </w:rPr>
        <w:t>Franck</w:t>
      </w:r>
      <w:r w:rsidRPr="00523A41">
        <w:t>, Smart Grids und Datenschutz, 2016</w:t>
      </w:r>
      <w:r>
        <w:fldChar w:fldCharType="end"/>
      </w:r>
      <w:r>
        <w:t>, S. 52 und 53.</w:t>
      </w:r>
    </w:p>
  </w:footnote>
  <w:footnote w:id="46">
    <w:p w:rsidR="005D5DB3" w:rsidRPr="00D654A7" w:rsidRDefault="005D5DB3" w:rsidP="00400AF9">
      <w:pPr>
        <w:pStyle w:val="Funote"/>
        <w:rPr>
          <w:sz w:val="18"/>
          <w:szCs w:val="18"/>
        </w:rPr>
      </w:pPr>
      <w:r w:rsidRPr="00D654A7">
        <w:rPr>
          <w:rStyle w:val="Funotenzeichen"/>
          <w:sz w:val="18"/>
          <w:szCs w:val="18"/>
        </w:rPr>
        <w:footnoteRef/>
      </w:r>
      <w:r w:rsidRPr="00D654A7">
        <w:rPr>
          <w:sz w:val="18"/>
          <w:szCs w:val="18"/>
        </w:rPr>
        <w:t xml:space="preserve"> </w:t>
      </w:r>
      <w:r>
        <w:rPr>
          <w:sz w:val="18"/>
          <w:szCs w:val="18"/>
        </w:rPr>
        <w:tab/>
      </w:r>
      <w:r w:rsidRPr="00490AFD">
        <w:rPr>
          <w:i/>
        </w:rPr>
        <w:t>Dix</w:t>
      </w:r>
      <w:r w:rsidRPr="009A0986">
        <w:rPr>
          <w:i/>
        </w:rPr>
        <w:t xml:space="preserve"> </w:t>
      </w:r>
      <w:r w:rsidRPr="009A0986">
        <w:t>in: Simitis, Bundesdatenschutzgesetz, §1 Rn. 158.</w:t>
      </w:r>
    </w:p>
  </w:footnote>
  <w:footnote w:id="47">
    <w:p w:rsidR="005D5DB3" w:rsidRPr="005933EA" w:rsidRDefault="005D5DB3" w:rsidP="00400AF9">
      <w:pPr>
        <w:pStyle w:val="Funote"/>
        <w:rPr>
          <w:rStyle w:val="FunoteZchn"/>
        </w:rPr>
      </w:pPr>
      <w:r w:rsidRPr="00D654A7">
        <w:rPr>
          <w:rStyle w:val="Funotenzeichen"/>
          <w:sz w:val="18"/>
          <w:szCs w:val="18"/>
        </w:rPr>
        <w:footnoteRef/>
      </w:r>
      <w:r w:rsidRPr="00D654A7">
        <w:rPr>
          <w:sz w:val="18"/>
          <w:szCs w:val="18"/>
        </w:rPr>
        <w:t xml:space="preserve"> </w:t>
      </w:r>
      <w:r>
        <w:rPr>
          <w:sz w:val="18"/>
          <w:szCs w:val="18"/>
        </w:rPr>
        <w:tab/>
      </w:r>
      <w:r w:rsidRPr="00605BC0">
        <w:rPr>
          <w:rStyle w:val="FunoteZchn"/>
          <w:i/>
        </w:rPr>
        <w:t>Dix</w:t>
      </w:r>
      <w:r w:rsidRPr="005933EA">
        <w:rPr>
          <w:rStyle w:val="FunoteZchn"/>
        </w:rPr>
        <w:t xml:space="preserve"> in: Simitis, Bundesdatenschutzgesetz, § 1 Rn. 170. </w:t>
      </w:r>
    </w:p>
  </w:footnote>
  <w:footnote w:id="48">
    <w:p w:rsidR="005D5DB3" w:rsidRDefault="005D5DB3" w:rsidP="00400AF9">
      <w:pPr>
        <w:pStyle w:val="Funote"/>
      </w:pPr>
      <w:r>
        <w:rPr>
          <w:rStyle w:val="Funotenzeichen"/>
        </w:rPr>
        <w:footnoteRef/>
      </w:r>
      <w:r>
        <w:t xml:space="preserve"> </w:t>
      </w:r>
      <w:r>
        <w:tab/>
      </w:r>
      <w:r w:rsidRPr="00605BC0">
        <w:rPr>
          <w:rStyle w:val="FunoteZchn"/>
          <w:i/>
        </w:rPr>
        <w:t>Jandt/Roßnagel/Volland</w:t>
      </w:r>
      <w:r w:rsidRPr="005933EA">
        <w:rPr>
          <w:rStyle w:val="FunoteZchn"/>
        </w:rPr>
        <w:t>, ZD 2011, 99, 103.</w:t>
      </w:r>
    </w:p>
  </w:footnote>
  <w:footnote w:id="49">
    <w:p w:rsidR="005D5DB3" w:rsidRDefault="005D5DB3" w:rsidP="00400AF9">
      <w:pPr>
        <w:pStyle w:val="Funote"/>
      </w:pPr>
      <w:r>
        <w:rPr>
          <w:rStyle w:val="Funotenzeichen"/>
        </w:rPr>
        <w:footnoteRef/>
      </w:r>
      <w:r>
        <w:t xml:space="preserve"> </w:t>
      </w:r>
      <w:r>
        <w:tab/>
        <w:t>Eine Parallele findet sich in § 12 Abs. 1 TMG, der ebenfalls ein eigenständiges Ve</w:t>
      </w:r>
      <w:r>
        <w:t>r</w:t>
      </w:r>
      <w:r>
        <w:t xml:space="preserve">bot mit Erlaubnisvorbehalt enthält. Vgl. </w:t>
      </w:r>
      <w:r w:rsidRPr="00B65233">
        <w:rPr>
          <w:i/>
        </w:rPr>
        <w:t>Spindler/Nink</w:t>
      </w:r>
      <w:r>
        <w:t xml:space="preserve"> in: </w:t>
      </w:r>
      <w:r>
        <w:fldChar w:fldCharType="begin"/>
      </w:r>
      <w:r>
        <w:instrText>ADDIN CITAVI.PLACEHOLDER 7ce5ebe1-0a4f-44c4-ad67-652f65f976f3 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kTDtnBrZW5zL1NwaW5kbGVy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SZWNodCBkZXIgZWxla3Ryb25pc2NoZW4gTWVkaWVuLCAyMDE1PC9UZXh0Pg0KICAgIDwvVGV4dFVuaXQ+DQogIDwvVGV4dFVuaXRzPg0KPC9QbGFjZWhvbGRlcj4=</w:instrText>
      </w:r>
      <w:r>
        <w:fldChar w:fldCharType="separate"/>
      </w:r>
      <w:r w:rsidRPr="00B65233">
        <w:rPr>
          <w:i/>
        </w:rPr>
        <w:t>Döpkens/Spindler</w:t>
      </w:r>
      <w:r w:rsidRPr="00B65233">
        <w:t xml:space="preserve">, Recht der elektronischen Medien, </w:t>
      </w:r>
      <w:r>
        <w:t xml:space="preserve">§ 12 TMG Rn. 2. </w:t>
      </w:r>
      <w:r>
        <w:fldChar w:fldCharType="end"/>
      </w:r>
    </w:p>
  </w:footnote>
  <w:footnote w:id="50">
    <w:p w:rsidR="005D5DB3" w:rsidRPr="00400AF9" w:rsidRDefault="005D5DB3" w:rsidP="00400AF9">
      <w:pPr>
        <w:pStyle w:val="Funote"/>
        <w:rPr>
          <w:szCs w:val="24"/>
        </w:rPr>
      </w:pPr>
      <w:r w:rsidRPr="00400AF9">
        <w:rPr>
          <w:rStyle w:val="Funotenzeichen"/>
          <w:szCs w:val="24"/>
        </w:rPr>
        <w:footnoteRef/>
      </w:r>
      <w:r w:rsidRPr="00400AF9">
        <w:rPr>
          <w:szCs w:val="24"/>
        </w:rPr>
        <w:t xml:space="preserve"> </w:t>
      </w:r>
      <w:r w:rsidRPr="00400AF9">
        <w:rPr>
          <w:szCs w:val="24"/>
        </w:rPr>
        <w:tab/>
        <w:t>Vgl. BR-Drs. 343/11 S. 196.</w:t>
      </w:r>
    </w:p>
  </w:footnote>
  <w:footnote w:id="51">
    <w:p w:rsidR="005D5DB3" w:rsidRPr="005933EA" w:rsidRDefault="005D5DB3" w:rsidP="00400AF9">
      <w:pPr>
        <w:pStyle w:val="Funote"/>
        <w:rPr>
          <w:sz w:val="20"/>
        </w:rPr>
      </w:pPr>
      <w:r w:rsidRPr="00400AF9">
        <w:rPr>
          <w:rStyle w:val="Funotenzeichen"/>
          <w:szCs w:val="24"/>
        </w:rPr>
        <w:footnoteRef/>
      </w:r>
      <w:r w:rsidRPr="00D654A7">
        <w:rPr>
          <w:sz w:val="18"/>
          <w:szCs w:val="18"/>
        </w:rPr>
        <w:t xml:space="preserve"> </w:t>
      </w:r>
      <w:r>
        <w:rPr>
          <w:sz w:val="18"/>
          <w:szCs w:val="18"/>
        </w:rPr>
        <w:tab/>
      </w:r>
      <w:r w:rsidRPr="00400AF9">
        <w:rPr>
          <w:szCs w:val="24"/>
        </w:rPr>
        <w:t>Nach a. A. Ansicht handelt es sich bei § 21 g Abs. 1 allerdings um eine bereichssp</w:t>
      </w:r>
      <w:r w:rsidRPr="00400AF9">
        <w:rPr>
          <w:szCs w:val="24"/>
        </w:rPr>
        <w:t>e</w:t>
      </w:r>
      <w:r w:rsidRPr="00400AF9">
        <w:rPr>
          <w:szCs w:val="24"/>
        </w:rPr>
        <w:t>zifische Grundlage im Sinne des § 4 Abs. 2 S. 2 Nr. 1 BDSG, welche den Anwe</w:t>
      </w:r>
      <w:r w:rsidRPr="00400AF9">
        <w:rPr>
          <w:szCs w:val="24"/>
        </w:rPr>
        <w:t>n</w:t>
      </w:r>
      <w:r w:rsidRPr="00400AF9">
        <w:rPr>
          <w:szCs w:val="24"/>
        </w:rPr>
        <w:t xml:space="preserve">dungsfall „ohne Mitwirkung des Betroffenen“ regelt; vgl. </w:t>
      </w:r>
      <w:r w:rsidRPr="00400AF9">
        <w:rPr>
          <w:i/>
          <w:szCs w:val="24"/>
        </w:rPr>
        <w:t>Jandt/Roßnagel/Volland</w:t>
      </w:r>
      <w:r w:rsidRPr="00400AF9">
        <w:rPr>
          <w:szCs w:val="24"/>
        </w:rPr>
        <w:t xml:space="preserve">, ZD 2011, 100, 103. </w:t>
      </w:r>
    </w:p>
  </w:footnote>
  <w:footnote w:id="52">
    <w:p w:rsidR="005D5DB3" w:rsidRDefault="005D5DB3" w:rsidP="00400AF9">
      <w:pPr>
        <w:pStyle w:val="Funote"/>
      </w:pPr>
      <w:r w:rsidRPr="00FE7D1F">
        <w:rPr>
          <w:rStyle w:val="Funotenzeichen"/>
        </w:rPr>
        <w:footnoteRef/>
      </w:r>
      <w:r>
        <w:t xml:space="preserve"> </w:t>
      </w:r>
      <w:r>
        <w:tab/>
      </w:r>
      <w:r>
        <w:fldChar w:fldCharType="begin"/>
      </w:r>
      <w:r>
        <w:instrText>ADDIN CITAVI.PLACEHOLDER 241b1685-4625-413a-aa4a-a6c77cb7bf1d 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</w:instrText>
      </w:r>
      <w:r>
        <w:fldChar w:fldCharType="separate"/>
      </w:r>
      <w:r w:rsidRPr="00523A41">
        <w:rPr>
          <w:i/>
        </w:rPr>
        <w:t>Franck</w:t>
      </w:r>
      <w:r w:rsidRPr="00523A41">
        <w:t>, Smart Grids und Datenschutz, 2016</w:t>
      </w:r>
      <w:r>
        <w:fldChar w:fldCharType="end"/>
      </w:r>
      <w:r>
        <w:t>, S. 51.</w:t>
      </w:r>
    </w:p>
  </w:footnote>
  <w:footnote w:id="53">
    <w:p w:rsidR="005D5DB3" w:rsidRPr="00127583" w:rsidRDefault="005D5DB3" w:rsidP="00400AF9">
      <w:pPr>
        <w:pStyle w:val="Funote"/>
      </w:pPr>
      <w:r w:rsidRPr="00127583">
        <w:rPr>
          <w:rStyle w:val="Funotenzeichen"/>
        </w:rPr>
        <w:footnoteRef/>
      </w:r>
      <w:r w:rsidRPr="00127583">
        <w:t xml:space="preserve"> </w:t>
      </w:r>
      <w:r>
        <w:tab/>
      </w:r>
      <w:r w:rsidRPr="00127583">
        <w:t>Die Wahl des Tatbestandsmerkmals der „Belieferung mit Energie“ ist im Hinblick auf die Terminologie des EnWG äußerst kritisch zu betrachten. Zwar wird der B</w:t>
      </w:r>
      <w:r w:rsidRPr="00127583">
        <w:t>e</w:t>
      </w:r>
      <w:r w:rsidRPr="00127583">
        <w:t>griff „Belieferung“ selbst nicht definiert, aber zur Negativabgrenzung des Verte</w:t>
      </w:r>
      <w:r w:rsidRPr="00127583">
        <w:t>i</w:t>
      </w:r>
      <w:r w:rsidRPr="00127583">
        <w:t>lungsbegriffs in § 3 Nr. 37 EnWG verwendet. Auch hier wurde die Verwendung di</w:t>
      </w:r>
      <w:r w:rsidRPr="00127583">
        <w:t>e</w:t>
      </w:r>
      <w:r w:rsidRPr="00127583">
        <w:t>ses Begriffs bereits kritisiert, da dessen Inhalt im Gegensatz zum europäischen Verständnis steht. Im EnWG wird unter Belieferung der Energiebezug eines Kunden (der Vertrieb) verstanden, ohne jedoch den Transport über Leitungsnetze mit einz</w:t>
      </w:r>
      <w:r w:rsidRPr="00127583">
        <w:t>u</w:t>
      </w:r>
      <w:r w:rsidRPr="00127583">
        <w:t>schließen. Im europäischen Verständnis meint der Begriff jedoch gerade den Tran</w:t>
      </w:r>
      <w:r w:rsidRPr="00127583">
        <w:t>s</w:t>
      </w:r>
      <w:r w:rsidRPr="00127583">
        <w:t>port der Energie zum Kunden, vgl. Art. 2 Nr. 3 und 5 Richtlinie 2009/72/EG. Pro</w:t>
      </w:r>
      <w:r w:rsidRPr="00127583">
        <w:t>b</w:t>
      </w:r>
      <w:r w:rsidRPr="00127583">
        <w:t>lematisch in Bezug auf die Verwendung dieses Begriffs im Bereich der Datenschutzvorschriften ist jedoch, dass Belieferung, jedenfalls im Kontext des en</w:t>
      </w:r>
      <w:r w:rsidRPr="00127583">
        <w:t>t</w:t>
      </w:r>
      <w:r w:rsidRPr="00127583">
        <w:t>bündelten Systems, nur einen dieser beiden Bereiche betreffen kann. Je nach zu Grun</w:t>
      </w:r>
      <w:r>
        <w:t>de gelegtem Begriffsverständnis</w:t>
      </w:r>
      <w:r w:rsidRPr="00127583">
        <w:t xml:space="preserve"> wäre eine „Erhebung, Verarbeitung und Nu</w:t>
      </w:r>
      <w:r w:rsidRPr="00127583">
        <w:t>t</w:t>
      </w:r>
      <w:r w:rsidRPr="00127583">
        <w:t>zung personenbezogener Daten aus dem Messsystem“ entweder nur für die Abrec</w:t>
      </w:r>
      <w:r w:rsidRPr="00127583">
        <w:t>h</w:t>
      </w:r>
      <w:r w:rsidRPr="00127583">
        <w:t>nung von Netznutzungsentgelten, da diese den Transport betreffen, oder nur für den Vertrie</w:t>
      </w:r>
      <w:r>
        <w:t>b, also den Verkauf von Energie</w:t>
      </w:r>
      <w:r w:rsidRPr="00127583">
        <w:t xml:space="preserve"> zulässig. Folge dieser Wortlautauslegung ist, dass die Daten damit auf Grundlage von § 21g Abs. 1 Nr. 3 EnWG jedenfalls nicht sowohl vom Netzbetreiber als auch vom Lieferanten zu Abrechnungszwecken b</w:t>
      </w:r>
      <w:r w:rsidRPr="00127583">
        <w:t>e</w:t>
      </w:r>
      <w:r w:rsidRPr="00127583">
        <w:t>nutzt werden dürften.</w:t>
      </w:r>
    </w:p>
  </w:footnote>
  <w:footnote w:id="54">
    <w:p w:rsidR="005D5DB3" w:rsidRPr="00127583" w:rsidRDefault="005D5DB3" w:rsidP="00400AF9">
      <w:pPr>
        <w:pStyle w:val="Funote"/>
      </w:pPr>
      <w:r w:rsidRPr="00127583">
        <w:rPr>
          <w:rStyle w:val="Funotenzeichen"/>
        </w:rPr>
        <w:footnoteRef/>
      </w:r>
      <w:r w:rsidRPr="00127583">
        <w:t xml:space="preserve"> </w:t>
      </w:r>
      <w:r>
        <w:tab/>
      </w:r>
      <w:r w:rsidRPr="00400AF9">
        <w:rPr>
          <w:w w:val="98"/>
        </w:rPr>
        <w:t>Hierzu zählt auch die Verwendung bei der Führung des Bilanzkreises durch den VNB.</w:t>
      </w:r>
    </w:p>
  </w:footnote>
  <w:footnote w:id="55">
    <w:p w:rsidR="005D5DB3" w:rsidRPr="00127583" w:rsidRDefault="005D5DB3" w:rsidP="00400AF9">
      <w:pPr>
        <w:pStyle w:val="Funote"/>
      </w:pPr>
      <w:r w:rsidRPr="00127583">
        <w:rPr>
          <w:rStyle w:val="Funotenzeichen"/>
        </w:rPr>
        <w:footnoteRef/>
      </w:r>
      <w:r w:rsidRPr="00127583">
        <w:t xml:space="preserve"> </w:t>
      </w:r>
      <w:r>
        <w:tab/>
      </w:r>
      <w:r w:rsidRPr="00127583">
        <w:t>Vgl. BVerfGE 49,89 Kalkar I „</w:t>
      </w:r>
      <w:r w:rsidRPr="00127583">
        <w:rPr>
          <w:i/>
        </w:rPr>
        <w:t>die nach dem Gesetzesvorbehalt tragenden Prinzipien die parlamentarische Leitentscheidung [müsse] umso konkreter sein, in je höherem Maße der Grundrechtsschutz des betroffenen Bürgers in Frage stehe, je größer die Bedeutung für die Allgemeinheit sei, je weitreichender der politische Konflikt e</w:t>
      </w:r>
      <w:r w:rsidRPr="00127583">
        <w:rPr>
          <w:i/>
        </w:rPr>
        <w:t>r</w:t>
      </w:r>
      <w:r w:rsidRPr="00127583">
        <w:rPr>
          <w:i/>
        </w:rPr>
        <w:t>scheine und mit je stärkerer Intensität ein staatliches Handeln erfolge.</w:t>
      </w:r>
      <w:r w:rsidRPr="00127583">
        <w:t>“</w:t>
      </w:r>
    </w:p>
  </w:footnote>
  <w:footnote w:id="56">
    <w:p w:rsidR="005D5DB3" w:rsidRPr="00127583" w:rsidRDefault="005D5DB3" w:rsidP="00400AF9">
      <w:pPr>
        <w:pStyle w:val="Funote"/>
      </w:pPr>
      <w:r w:rsidRPr="00127583">
        <w:rPr>
          <w:rStyle w:val="Funotenzeichen"/>
        </w:rPr>
        <w:footnoteRef/>
      </w:r>
      <w:r w:rsidRPr="00127583">
        <w:t xml:space="preserve"> </w:t>
      </w:r>
      <w:r>
        <w:tab/>
      </w:r>
      <w:r w:rsidRPr="00127583">
        <w:t>BT-Drucks. 17/6248, S. 24.</w:t>
      </w:r>
    </w:p>
  </w:footnote>
  <w:footnote w:id="57">
    <w:p w:rsidR="005D5DB3" w:rsidRDefault="005D5DB3" w:rsidP="00400AF9">
      <w:pPr>
        <w:pStyle w:val="Funote"/>
      </w:pPr>
      <w:r>
        <w:rPr>
          <w:rStyle w:val="Funotenzeichen"/>
        </w:rPr>
        <w:footnoteRef/>
      </w:r>
      <w:r>
        <w:t xml:space="preserve"> </w:t>
      </w:r>
      <w:r>
        <w:tab/>
      </w:r>
      <w:r w:rsidRPr="009A1827">
        <w:rPr>
          <w:i/>
        </w:rPr>
        <w:t>Raabe/Lorenz/Pallas/Weis</w:t>
      </w:r>
      <w:r>
        <w:t xml:space="preserve">, CR 2011, 831, 836. </w:t>
      </w:r>
    </w:p>
  </w:footnote>
  <w:footnote w:id="58">
    <w:p w:rsidR="005D5DB3" w:rsidRDefault="005D5DB3" w:rsidP="00400AF9">
      <w:pPr>
        <w:pStyle w:val="Funote"/>
      </w:pPr>
      <w:r>
        <w:rPr>
          <w:rStyle w:val="Funotenzeichen"/>
        </w:rPr>
        <w:footnoteRef/>
      </w:r>
      <w:r>
        <w:t xml:space="preserve"> </w:t>
      </w:r>
      <w:r>
        <w:tab/>
        <w:t>Wenn auch in Art. 20a GG nur als Staatsziel fundiert.</w:t>
      </w:r>
    </w:p>
  </w:footnote>
  <w:footnote w:id="59">
    <w:p w:rsidR="005D5DB3" w:rsidRDefault="005D5DB3" w:rsidP="00400AF9">
      <w:pPr>
        <w:pStyle w:val="Funote"/>
      </w:pPr>
      <w:r>
        <w:rPr>
          <w:rStyle w:val="Funotenzeichen"/>
        </w:rPr>
        <w:footnoteRef/>
      </w:r>
      <w:r>
        <w:t xml:space="preserve"> </w:t>
      </w:r>
      <w:r>
        <w:tab/>
      </w:r>
      <w:r w:rsidRPr="009A1827">
        <w:rPr>
          <w:i/>
        </w:rPr>
        <w:t>Lüdemann/Sengstacken</w:t>
      </w:r>
      <w:r>
        <w:t>, ZNER 2013 (Heft 6) , S. 592 (594).</w:t>
      </w:r>
    </w:p>
  </w:footnote>
  <w:footnote w:id="60">
    <w:p w:rsidR="005D5DB3" w:rsidRDefault="005D5DB3" w:rsidP="00400AF9">
      <w:pPr>
        <w:pStyle w:val="Funote"/>
      </w:pPr>
      <w:r>
        <w:rPr>
          <w:rStyle w:val="Funotenzeichen"/>
        </w:rPr>
        <w:footnoteRef/>
      </w:r>
      <w:r>
        <w:t xml:space="preserve"> </w:t>
      </w:r>
      <w:r>
        <w:tab/>
      </w:r>
      <w:r w:rsidRPr="009A1827">
        <w:t>Raabe/Lorenz/Pallas/Weis</w:t>
      </w:r>
      <w:r w:rsidRPr="00C207F7">
        <w:t>, CR 2011</w:t>
      </w:r>
      <w:r w:rsidRPr="009A1827">
        <w:t>, 831, 837</w:t>
      </w:r>
      <w:r>
        <w:t>.</w:t>
      </w:r>
    </w:p>
  </w:footnote>
  <w:footnote w:id="61">
    <w:p w:rsidR="005D5DB3" w:rsidRPr="00127583" w:rsidRDefault="005D5DB3" w:rsidP="00400AF9">
      <w:pPr>
        <w:pStyle w:val="Funote"/>
      </w:pPr>
      <w:r w:rsidRPr="00127583">
        <w:rPr>
          <w:rStyle w:val="Funotenzeichen"/>
        </w:rPr>
        <w:footnoteRef/>
      </w:r>
      <w:r w:rsidRPr="00127583">
        <w:t xml:space="preserve"> </w:t>
      </w:r>
      <w:r>
        <w:tab/>
      </w:r>
      <w:r w:rsidRPr="00127583">
        <w:t xml:space="preserve">Vgl. </w:t>
      </w:r>
      <w:r w:rsidRPr="009A1827">
        <w:rPr>
          <w:i/>
        </w:rPr>
        <w:t>Raabe/Lorenz</w:t>
      </w:r>
      <w:r w:rsidRPr="00127583">
        <w:t>, DuD 2011, S. 279, 280.</w:t>
      </w:r>
    </w:p>
  </w:footnote>
  <w:footnote w:id="62">
    <w:p w:rsidR="005D5DB3" w:rsidRDefault="005D5DB3" w:rsidP="00400AF9">
      <w:pPr>
        <w:pStyle w:val="Funote"/>
      </w:pPr>
      <w:r>
        <w:rPr>
          <w:rStyle w:val="Funotenzeichen"/>
        </w:rPr>
        <w:footnoteRef/>
      </w:r>
      <w:r>
        <w:t xml:space="preserve"> </w:t>
      </w:r>
      <w:r>
        <w:tab/>
      </w:r>
      <w:r w:rsidRPr="009A1827">
        <w:rPr>
          <w:i/>
        </w:rPr>
        <w:t>Raabe/Lorenz/Pallas/Weis</w:t>
      </w:r>
      <w:r>
        <w:t>, CR 2011, 831, 837.</w:t>
      </w:r>
    </w:p>
  </w:footnote>
  <w:footnote w:id="63">
    <w:p w:rsidR="005D5DB3" w:rsidRPr="00CD5589" w:rsidRDefault="005D5DB3" w:rsidP="00400AF9">
      <w:pPr>
        <w:pStyle w:val="Funote"/>
        <w:rPr>
          <w:noProof/>
          <w:sz w:val="20"/>
        </w:rPr>
      </w:pPr>
      <w:r>
        <w:rPr>
          <w:rStyle w:val="Funotenzeichen"/>
        </w:rPr>
        <w:footnoteRef/>
      </w:r>
      <w:r>
        <w:t xml:space="preserve"> </w:t>
      </w:r>
      <w:r>
        <w:tab/>
      </w:r>
      <w:r w:rsidRPr="00CD5589">
        <w:t>Informationspflichten stellen unter dem Gesichtspunkt der nutzerbezogenen Transp</w:t>
      </w:r>
      <w:r w:rsidRPr="00CD5589">
        <w:t>a</w:t>
      </w:r>
      <w:r w:rsidRPr="00CD5589">
        <w:t>renz einen weiteren wesentlichen Aspekt datenschutzrechtlicher Begleitprinzipien dar. Sie sichern einerseits den Aspekt der Selbstbestimmung bei Entscheidungen des Betroffenen über gewünschte und unerwünschte Datenverwendungen und sind gleichzeitig die Basis für die Ausüb</w:t>
      </w:r>
      <w:r>
        <w:t>ung nachfolgender Nutzerrechte.</w:t>
      </w:r>
    </w:p>
  </w:footnote>
  <w:footnote w:id="64">
    <w:p w:rsidR="005D5DB3" w:rsidRPr="00127583" w:rsidRDefault="005D5DB3" w:rsidP="00400AF9">
      <w:pPr>
        <w:pStyle w:val="Funote"/>
      </w:pPr>
      <w:r w:rsidRPr="00127583">
        <w:rPr>
          <w:rStyle w:val="Funotenzeichen"/>
        </w:rPr>
        <w:footnoteRef/>
      </w:r>
      <w:r w:rsidRPr="00127583">
        <w:t xml:space="preserve"> </w:t>
      </w:r>
      <w:r>
        <w:tab/>
      </w:r>
      <w:r w:rsidRPr="009A1827">
        <w:rPr>
          <w:i/>
        </w:rPr>
        <w:t>ULD</w:t>
      </w:r>
      <w:r>
        <w:t xml:space="preserve">, </w:t>
      </w:r>
      <w:r w:rsidRPr="00127583">
        <w:t xml:space="preserve">Stellungnahme </w:t>
      </w:r>
      <w:r>
        <w:t>zum Gesetzesentwurf der der Bundesregierung zur Neureg</w:t>
      </w:r>
      <w:r>
        <w:t>e</w:t>
      </w:r>
      <w:r>
        <w:t>lung energiewirtschaftsrechtlicher Vorschriften, BT-Drs. 17/6072</w:t>
      </w:r>
      <w:r w:rsidRPr="00127583">
        <w:t>, S. 2.</w:t>
      </w:r>
    </w:p>
  </w:footnote>
  <w:footnote w:id="65">
    <w:p w:rsidR="005D5DB3" w:rsidRPr="00127583" w:rsidRDefault="005D5DB3" w:rsidP="00400AF9">
      <w:pPr>
        <w:pStyle w:val="Funote"/>
      </w:pPr>
      <w:r w:rsidRPr="00127583">
        <w:rPr>
          <w:rStyle w:val="Funotenzeichen"/>
        </w:rPr>
        <w:footnoteRef/>
      </w:r>
      <w:r w:rsidRPr="00127583">
        <w:t xml:space="preserve"> </w:t>
      </w:r>
      <w:r>
        <w:tab/>
      </w:r>
      <w:r w:rsidRPr="00127583">
        <w:t>Der Lieferant ist insbesondere in den in der Praxis verbreiteten All-Inclusive-Verträgen die einzige</w:t>
      </w:r>
      <w:r>
        <w:t>,</w:t>
      </w:r>
      <w:r w:rsidRPr="00127583">
        <w:t xml:space="preserve"> dem Nutzer bekannte Stelle. Auch in den künftigen Elektr</w:t>
      </w:r>
      <w:r w:rsidRPr="00127583">
        <w:t>o</w:t>
      </w:r>
      <w:r w:rsidRPr="00127583">
        <w:t>mobilitätsszenarien des Ladens an öffentlichen Ladestationen werden vertraglichen Bindungen in den meisten Fällen lediglich zwischen dem Betroffenen und dem Li</w:t>
      </w:r>
      <w:r w:rsidRPr="00127583">
        <w:t>e</w:t>
      </w:r>
      <w:r w:rsidRPr="00127583">
        <w:t>feranten bestehen.</w:t>
      </w:r>
    </w:p>
  </w:footnote>
  <w:footnote w:id="66">
    <w:p w:rsidR="005D5DB3" w:rsidRPr="00127583" w:rsidRDefault="005D5DB3" w:rsidP="00400AF9">
      <w:pPr>
        <w:pStyle w:val="Funote"/>
      </w:pPr>
      <w:r w:rsidRPr="00127583">
        <w:rPr>
          <w:rStyle w:val="Funotenzeichen"/>
        </w:rPr>
        <w:footnoteRef/>
      </w:r>
      <w:r w:rsidRPr="00127583">
        <w:t xml:space="preserve"> </w:t>
      </w:r>
      <w:r>
        <w:tab/>
      </w:r>
      <w:r w:rsidRPr="00127583">
        <w:t>Die im Vergleich zu den sonstigen Regelungen unterschiedliche Wortwahl ist daraus erklärlich, dass das Messsystem im Sinne von § 21d Abs. 1 EnWG gemäß dem Schutzprofil aus grundsätzlich zwei zumindest logisch getrennten Teilen, dem Smart Meter und dem Gateway, besteht. Die Vorschrift eröffnet damit grundsätzlich einen Zugriff auf alle im Smart Meter oder im Gateway gespeicherten Daten. Problem</w:t>
      </w:r>
      <w:r w:rsidRPr="00127583">
        <w:t>a</w:t>
      </w:r>
      <w:r w:rsidRPr="00127583">
        <w:t>tisch ist hierbei aber, dass sich der Anspruch aus § 21h EnWG zumindest nach se</w:t>
      </w:r>
      <w:r w:rsidRPr="00127583">
        <w:t>i</w:t>
      </w:r>
      <w:r w:rsidRPr="00127583">
        <w:t>nem Wortlaut nicht auf Daten des Anschlussnutzers beschränkt. Der Tatbestand ist insofern restriktiv auszulegen und in der Verordnung zu konkretisieren.</w:t>
      </w:r>
    </w:p>
  </w:footnote>
  <w:footnote w:id="67">
    <w:p w:rsidR="005D5DB3" w:rsidRPr="00127583" w:rsidRDefault="005D5DB3" w:rsidP="00400AF9">
      <w:pPr>
        <w:pStyle w:val="Funote"/>
      </w:pPr>
      <w:r w:rsidRPr="00127583">
        <w:rPr>
          <w:rStyle w:val="Funotenzeichen"/>
        </w:rPr>
        <w:footnoteRef/>
      </w:r>
      <w:r w:rsidRPr="00127583">
        <w:t xml:space="preserve"> </w:t>
      </w:r>
      <w:r>
        <w:tab/>
      </w:r>
      <w:r w:rsidRPr="00127583">
        <w:t>Dass der Kreis der zum Datenumgang Berechtigten durch § 21g Abs. 2 EnWG um eine dritte, den Prozessfestlegungen unbekannte Stelle erweitert werden kann, ist u</w:t>
      </w:r>
      <w:r w:rsidRPr="00127583">
        <w:t>n</w:t>
      </w:r>
      <w:r w:rsidRPr="00127583">
        <w:t>kritisch, da diese zuvor selbst eine Einwilligung beim Betroffenen eingeholt haben muss.</w:t>
      </w:r>
    </w:p>
  </w:footnote>
  <w:footnote w:id="68">
    <w:p w:rsidR="005D5DB3" w:rsidRPr="00127583" w:rsidRDefault="005D5DB3" w:rsidP="00400AF9">
      <w:pPr>
        <w:pStyle w:val="Funote"/>
      </w:pPr>
      <w:r w:rsidRPr="00127583">
        <w:rPr>
          <w:rStyle w:val="Funotenzeichen"/>
        </w:rPr>
        <w:footnoteRef/>
      </w:r>
      <w:r w:rsidRPr="00127583">
        <w:t xml:space="preserve"> </w:t>
      </w:r>
      <w:r>
        <w:tab/>
      </w:r>
      <w:r w:rsidRPr="009A1827">
        <w:rPr>
          <w:i/>
        </w:rPr>
        <w:t>ULD</w:t>
      </w:r>
      <w:r>
        <w:t xml:space="preserve">, </w:t>
      </w:r>
      <w:r w:rsidRPr="00127583">
        <w:t>Stellungnahme, S. 5, das sich für einen ausdrücklichen Verweis auf das BDSG ausspricht.</w:t>
      </w:r>
    </w:p>
  </w:footnote>
  <w:footnote w:id="69">
    <w:p w:rsidR="005D5DB3" w:rsidRPr="00127583" w:rsidRDefault="005D5DB3" w:rsidP="00400AF9">
      <w:pPr>
        <w:pStyle w:val="Funote"/>
      </w:pPr>
      <w:r w:rsidRPr="00127583">
        <w:rPr>
          <w:rStyle w:val="Funotenzeichen"/>
        </w:rPr>
        <w:footnoteRef/>
      </w:r>
      <w:r w:rsidRPr="00127583">
        <w:t xml:space="preserve"> </w:t>
      </w:r>
      <w:r>
        <w:tab/>
      </w:r>
      <w:r w:rsidRPr="00127583">
        <w:t>Wohl aber hinsichtlich ihres materiellen Gehalts.</w:t>
      </w:r>
    </w:p>
  </w:footnote>
  <w:footnote w:id="70">
    <w:p w:rsidR="005D5DB3" w:rsidRPr="00127583" w:rsidRDefault="005D5DB3" w:rsidP="00400AF9">
      <w:pPr>
        <w:pStyle w:val="Funote"/>
      </w:pPr>
      <w:r w:rsidRPr="00127583">
        <w:rPr>
          <w:rStyle w:val="Funotenzeichen"/>
        </w:rPr>
        <w:footnoteRef/>
      </w:r>
      <w:r w:rsidRPr="00127583">
        <w:t xml:space="preserve"> </w:t>
      </w:r>
      <w:r>
        <w:tab/>
      </w:r>
      <w:r w:rsidRPr="00127583">
        <w:t>In Fällen der Sternkommunikation ergibt sich der jeweilige Anspruchsgegner aus den zuvor erteilten Einwilligungen.</w:t>
      </w:r>
    </w:p>
  </w:footnote>
  <w:footnote w:id="71">
    <w:p w:rsidR="005D5DB3" w:rsidRPr="00DA0B02" w:rsidRDefault="005D5DB3" w:rsidP="00400AF9">
      <w:pPr>
        <w:pStyle w:val="Funote"/>
      </w:pPr>
      <w:r>
        <w:rPr>
          <w:rStyle w:val="Funotenzeichen"/>
        </w:rPr>
        <w:footnoteRef/>
      </w:r>
      <w:r>
        <w:t xml:space="preserve"> </w:t>
      </w:r>
      <w:r>
        <w:tab/>
      </w:r>
      <w:r w:rsidRPr="009A1827">
        <w:rPr>
          <w:i/>
        </w:rPr>
        <w:t>Ladeur,</w:t>
      </w:r>
      <w:r>
        <w:t xml:space="preserve"> </w:t>
      </w:r>
      <w:r w:rsidRPr="00DA0B02">
        <w:t>DuD</w:t>
      </w:r>
      <w:r>
        <w:t xml:space="preserve"> 2000, S. 16, 16. </w:t>
      </w:r>
    </w:p>
  </w:footnote>
  <w:footnote w:id="72">
    <w:p w:rsidR="005D5DB3" w:rsidRDefault="005D5DB3" w:rsidP="00400AF9">
      <w:pPr>
        <w:pStyle w:val="Funote"/>
      </w:pPr>
      <w:r>
        <w:rPr>
          <w:rStyle w:val="Funotenzeichen"/>
        </w:rPr>
        <w:footnoteRef/>
      </w:r>
      <w:r>
        <w:t xml:space="preserve"> </w:t>
      </w:r>
      <w:r>
        <w:tab/>
      </w:r>
      <w:r w:rsidRPr="00CF2A3A">
        <w:t>Teil 1 C.II.2</w:t>
      </w:r>
    </w:p>
  </w:footnote>
  <w:footnote w:id="73">
    <w:p w:rsidR="005D5DB3" w:rsidRPr="00127583" w:rsidRDefault="005D5DB3" w:rsidP="00400AF9">
      <w:pPr>
        <w:pStyle w:val="Funote"/>
      </w:pPr>
      <w:r w:rsidRPr="00127583">
        <w:rPr>
          <w:rStyle w:val="Funotenzeichen"/>
        </w:rPr>
        <w:footnoteRef/>
      </w:r>
      <w:r w:rsidRPr="00127583">
        <w:t xml:space="preserve"> </w:t>
      </w:r>
      <w:r>
        <w:tab/>
      </w:r>
      <w:r w:rsidRPr="00127583">
        <w:t>Die Ermächtigung zum Erlass dieser Regelungen ergibt sich beispielsweise für den hier relevanten Prozess aus § 27 Abs. 1 Nr. 11 StromNZV und § 29 Abs. 1 EnWG in Verbindung mit § 54 Abs. 1 EnWG.</w:t>
      </w:r>
    </w:p>
  </w:footnote>
  <w:footnote w:id="74">
    <w:p w:rsidR="005D5DB3" w:rsidRPr="00127583" w:rsidRDefault="005D5DB3" w:rsidP="00400AF9">
      <w:pPr>
        <w:pStyle w:val="Funote"/>
      </w:pPr>
      <w:r w:rsidRPr="00127583">
        <w:rPr>
          <w:rStyle w:val="Funotenzeichen"/>
        </w:rPr>
        <w:footnoteRef/>
      </w:r>
      <w:r w:rsidRPr="00127583">
        <w:t xml:space="preserve"> </w:t>
      </w:r>
      <w:r>
        <w:tab/>
      </w:r>
      <w:r w:rsidRPr="00127583">
        <w:rPr>
          <w:noProof/>
        </w:rPr>
        <w:t>BNetzA</w:t>
      </w:r>
      <w:r>
        <w:rPr>
          <w:noProof/>
        </w:rPr>
        <w:t>,</w:t>
      </w:r>
      <w:r w:rsidRPr="00127583">
        <w:rPr>
          <w:noProof/>
        </w:rPr>
        <w:t xml:space="preserve"> Anlage zum Beschluss BK6-06-009 vom 11.07.2006, S. 78ff</w:t>
      </w:r>
    </w:p>
  </w:footnote>
  <w:footnote w:id="75">
    <w:p w:rsidR="005D5DB3" w:rsidRPr="00127583" w:rsidRDefault="005D5DB3" w:rsidP="00400AF9">
      <w:pPr>
        <w:pStyle w:val="Funote"/>
      </w:pPr>
      <w:r w:rsidRPr="00127583">
        <w:rPr>
          <w:rStyle w:val="Funotenzeichen"/>
        </w:rPr>
        <w:footnoteRef/>
      </w:r>
      <w:r w:rsidRPr="00127583">
        <w:t xml:space="preserve"> </w:t>
      </w:r>
      <w:r>
        <w:tab/>
      </w:r>
      <w:r w:rsidRPr="00127583">
        <w:rPr>
          <w:noProof/>
        </w:rPr>
        <w:t>BNetzA</w:t>
      </w:r>
      <w:r>
        <w:rPr>
          <w:noProof/>
        </w:rPr>
        <w:t>,</w:t>
      </w:r>
      <w:r w:rsidRPr="00127583">
        <w:rPr>
          <w:noProof/>
        </w:rPr>
        <w:t xml:space="preserve"> Anlage 1 zum Beschluss BK6-11-150 vom 28.10.2011, S. 30ff</w:t>
      </w:r>
    </w:p>
  </w:footnote>
  <w:footnote w:id="76">
    <w:p w:rsidR="005D5DB3" w:rsidRDefault="005D5DB3" w:rsidP="00400AF9">
      <w:pPr>
        <w:pStyle w:val="Funote"/>
      </w:pPr>
      <w:r>
        <w:rPr>
          <w:rStyle w:val="Funotenzeichen"/>
        </w:rPr>
        <w:footnoteRef/>
      </w:r>
      <w:r>
        <w:t xml:space="preserve"> </w:t>
      </w:r>
      <w:r>
        <w:tab/>
      </w:r>
      <w:r w:rsidRPr="009A1827">
        <w:t xml:space="preserve">Zudem wurde diese Ansicht auch durch die Entscheidung des BGH bestätigt, </w:t>
      </w:r>
      <w:r>
        <w:t>BGH ZNER 2008, 228.</w:t>
      </w:r>
    </w:p>
  </w:footnote>
  <w:footnote w:id="77">
    <w:p w:rsidR="005D5DB3" w:rsidRDefault="005D5DB3" w:rsidP="00400AF9">
      <w:pPr>
        <w:pStyle w:val="Funote"/>
      </w:pPr>
      <w:r>
        <w:rPr>
          <w:rStyle w:val="Funotenzeichen"/>
        </w:rPr>
        <w:footnoteRef/>
      </w:r>
      <w:r>
        <w:t xml:space="preserve"> </w:t>
      </w:r>
      <w:r>
        <w:tab/>
        <w:t xml:space="preserve">EU-Richtlinie 2006/32/EG. </w:t>
      </w:r>
    </w:p>
  </w:footnote>
  <w:footnote w:id="78">
    <w:p w:rsidR="005D5DB3" w:rsidRDefault="005D5DB3" w:rsidP="00400AF9">
      <w:pPr>
        <w:pStyle w:val="Funote"/>
      </w:pPr>
      <w:r>
        <w:rPr>
          <w:rStyle w:val="Funotenzeichen"/>
        </w:rPr>
        <w:footnoteRef/>
      </w:r>
      <w:r>
        <w:t xml:space="preserve"> </w:t>
      </w:r>
      <w:r>
        <w:tab/>
      </w:r>
      <w:r w:rsidRPr="00041DFF">
        <w:rPr>
          <w:i/>
        </w:rPr>
        <w:t>BSI,</w:t>
      </w:r>
      <w:r>
        <w:t xml:space="preserve"> Smart Meter Gateway, S. 9.</w:t>
      </w:r>
    </w:p>
  </w:footnote>
  <w:footnote w:id="79">
    <w:p w:rsidR="005D5DB3" w:rsidRPr="0032422B" w:rsidRDefault="005D5DB3" w:rsidP="00400AF9">
      <w:pPr>
        <w:pStyle w:val="Funote"/>
      </w:pPr>
      <w:r>
        <w:rPr>
          <w:rStyle w:val="Funotenzeichen"/>
        </w:rPr>
        <w:footnoteRef/>
      </w:r>
      <w:r>
        <w:t xml:space="preserve"> </w:t>
      </w:r>
      <w:r>
        <w:tab/>
      </w:r>
      <w:r w:rsidRPr="008342CF">
        <w:rPr>
          <w:i/>
        </w:rPr>
        <w:t>BSI,</w:t>
      </w:r>
      <w:r>
        <w:t xml:space="preserve"> </w:t>
      </w:r>
      <w:r w:rsidRPr="0032422B">
        <w:t xml:space="preserve">Schutzprofil für die Kommunikationseinheit eines intelligenten Messsystems </w:t>
      </w:r>
      <w:r>
        <w:br/>
      </w:r>
      <w:r w:rsidRPr="0032422B">
        <w:t xml:space="preserve">für Stoff- und Energiemengen (Smart Meter Gateway Protection Profile), </w:t>
      </w:r>
      <w:r>
        <w:br/>
      </w:r>
      <w:r w:rsidRPr="0032422B">
        <w:t xml:space="preserve">BSI-CC-PP-0073. </w:t>
      </w:r>
    </w:p>
  </w:footnote>
  <w:footnote w:id="80">
    <w:p w:rsidR="005D5DB3" w:rsidRPr="0032422B" w:rsidRDefault="005D5DB3" w:rsidP="00400AF9">
      <w:pPr>
        <w:pStyle w:val="Funote"/>
      </w:pPr>
      <w:r w:rsidRPr="0032422B">
        <w:rPr>
          <w:rStyle w:val="Funotenzeichen"/>
        </w:rPr>
        <w:footnoteRef/>
      </w:r>
      <w:r w:rsidRPr="0032422B">
        <w:t xml:space="preserve"> </w:t>
      </w:r>
      <w:r>
        <w:tab/>
      </w:r>
      <w:r w:rsidRPr="0032422B">
        <w:rPr>
          <w:i/>
        </w:rPr>
        <w:t>BSI,</w:t>
      </w:r>
      <w:r w:rsidRPr="0032422B">
        <w:t xml:space="preserve"> Schutzprofil für das Sicherheitsmodul der Kommun</w:t>
      </w:r>
      <w:r>
        <w:t>i</w:t>
      </w:r>
      <w:r w:rsidRPr="0032422B">
        <w:t xml:space="preserve">kationseinheit einer </w:t>
      </w:r>
      <w:r>
        <w:br/>
      </w:r>
      <w:r w:rsidRPr="0032422B">
        <w:t xml:space="preserve">intelligenten Messsystems für Stoff- und Energiemengen, (Security Module PP), </w:t>
      </w:r>
      <w:r>
        <w:br/>
      </w:r>
      <w:r w:rsidRPr="0032422B">
        <w:t>BSI-CC-PP-0077.</w:t>
      </w:r>
      <w:r>
        <w:t xml:space="preserve"> </w:t>
      </w:r>
    </w:p>
  </w:footnote>
  <w:footnote w:id="81">
    <w:p w:rsidR="005D5DB3" w:rsidRDefault="005D5DB3" w:rsidP="00400AF9">
      <w:pPr>
        <w:pStyle w:val="Funote"/>
      </w:pPr>
      <w:r w:rsidRPr="0032422B">
        <w:rPr>
          <w:rStyle w:val="Funotenzeichen"/>
        </w:rPr>
        <w:footnoteRef/>
      </w:r>
      <w:r>
        <w:t xml:space="preserve"> </w:t>
      </w:r>
      <w:r>
        <w:tab/>
      </w:r>
      <w:r w:rsidRPr="0032422B">
        <w:rPr>
          <w:i/>
        </w:rPr>
        <w:t>Laupichler/Vollmer/Baast/Intemann,</w:t>
      </w:r>
      <w:r>
        <w:t xml:space="preserve"> DuD 2011, 542, 543. </w:t>
      </w:r>
    </w:p>
  </w:footnote>
  <w:footnote w:id="82">
    <w:p w:rsidR="005D5DB3" w:rsidRDefault="005D5DB3" w:rsidP="00400AF9">
      <w:pPr>
        <w:pStyle w:val="Funote"/>
      </w:pPr>
      <w:r w:rsidRPr="0032422B">
        <w:rPr>
          <w:rStyle w:val="Funotenzeichen"/>
        </w:rPr>
        <w:footnoteRef/>
      </w:r>
      <w:r w:rsidRPr="0032422B">
        <w:t xml:space="preserve"> </w:t>
      </w:r>
      <w:r>
        <w:tab/>
      </w:r>
      <w:r w:rsidRPr="003C4460">
        <w:rPr>
          <w:i/>
        </w:rPr>
        <w:t>BSI</w:t>
      </w:r>
      <w:r w:rsidRPr="0032422B">
        <w:t>, Das Smart-Meter-Gateway – Sicherheit für intelligente Netze, S. 12.</w:t>
      </w:r>
    </w:p>
  </w:footnote>
  <w:footnote w:id="83">
    <w:p w:rsidR="005D5DB3" w:rsidRDefault="005D5DB3" w:rsidP="00400AF9">
      <w:pPr>
        <w:pStyle w:val="Funote"/>
      </w:pPr>
      <w:r>
        <w:rPr>
          <w:rStyle w:val="Funotenzeichen"/>
        </w:rPr>
        <w:footnoteRef/>
      </w:r>
      <w:r>
        <w:t xml:space="preserve"> </w:t>
      </w:r>
      <w:r>
        <w:tab/>
      </w:r>
      <w:r w:rsidRPr="00400AF9">
        <w:rPr>
          <w:i/>
        </w:rPr>
        <w:t>Laupichler/Vollmer/Bast/Intemann</w:t>
      </w:r>
      <w:r>
        <w:t>, DuD 2011, 542, 544.</w:t>
      </w:r>
    </w:p>
  </w:footnote>
  <w:footnote w:id="84">
    <w:p w:rsidR="005D5DB3" w:rsidRPr="005D5DB3" w:rsidRDefault="005D5DB3" w:rsidP="00400AF9">
      <w:pPr>
        <w:pStyle w:val="Funote"/>
        <w:rPr>
          <w:lang w:val="en-US"/>
        </w:rPr>
      </w:pPr>
      <w:r>
        <w:rPr>
          <w:rStyle w:val="Funotenzeichen"/>
        </w:rPr>
        <w:footnoteRef/>
      </w:r>
      <w:r w:rsidRPr="005D5DB3">
        <w:rPr>
          <w:lang w:val="en-US"/>
        </w:rPr>
        <w:t xml:space="preserve"> </w:t>
      </w:r>
      <w:r w:rsidRPr="005D5DB3">
        <w:rPr>
          <w:lang w:val="en-US"/>
        </w:rPr>
        <w:tab/>
        <w:t>Vgl. BR-Drs. 343/11, S. 196.</w:t>
      </w:r>
    </w:p>
  </w:footnote>
  <w:footnote w:id="85">
    <w:p w:rsidR="005D5DB3" w:rsidRPr="00E25E6F" w:rsidRDefault="005D5DB3" w:rsidP="00400AF9">
      <w:pPr>
        <w:pStyle w:val="Funote"/>
      </w:pPr>
      <w:r>
        <w:rPr>
          <w:rStyle w:val="Funotenzeichen"/>
        </w:rPr>
        <w:footnoteRef/>
      </w:r>
      <w:r w:rsidRPr="005D5DB3">
        <w:rPr>
          <w:lang w:val="en-US"/>
        </w:rPr>
        <w:t xml:space="preserve"> </w:t>
      </w:r>
      <w:r w:rsidRPr="005D5DB3">
        <w:rPr>
          <w:lang w:val="en-US"/>
        </w:rPr>
        <w:tab/>
      </w:r>
      <w:proofErr w:type="gramStart"/>
      <w:r w:rsidRPr="005D5DB3">
        <w:rPr>
          <w:lang w:val="en-US"/>
        </w:rPr>
        <w:t xml:space="preserve">Vgl. BR-Drs. </w:t>
      </w:r>
      <w:r w:rsidRPr="00E25E6F">
        <w:t>343/11, S. 202; BT-Drs. 17/6248, S. 24.</w:t>
      </w:r>
      <w:proofErr w:type="gramEnd"/>
    </w:p>
  </w:footnote>
  <w:footnote w:id="86">
    <w:p w:rsidR="005D5DB3" w:rsidRPr="0032422B" w:rsidRDefault="005D5DB3" w:rsidP="00400AF9">
      <w:pPr>
        <w:pStyle w:val="Funote"/>
      </w:pPr>
      <w:r>
        <w:rPr>
          <w:rStyle w:val="Funotenzeichen"/>
        </w:rPr>
        <w:footnoteRef/>
      </w:r>
      <w:r w:rsidRPr="0032422B">
        <w:t xml:space="preserve"> </w:t>
      </w:r>
      <w:r>
        <w:tab/>
      </w:r>
      <w:r w:rsidRPr="0032422B">
        <w:t xml:space="preserve">Siehe </w:t>
      </w:r>
      <w:r w:rsidRPr="0032422B">
        <w:rPr>
          <w:i/>
        </w:rPr>
        <w:t>BSI</w:t>
      </w:r>
      <w:r w:rsidRPr="0032422B">
        <w:t>, Schutzprofil für die Kommunikationseinheit eines intelligenten Messsy</w:t>
      </w:r>
      <w:r w:rsidRPr="0032422B">
        <w:t>s</w:t>
      </w:r>
      <w:r w:rsidRPr="0032422B">
        <w:t xml:space="preserve">tems für Stoff- und Energiemengen, </w:t>
      </w:r>
      <w:r w:rsidRPr="00BB3474">
        <w:t>(Smart Mete</w:t>
      </w:r>
      <w:r>
        <w:t xml:space="preserve">r Gateway Protection Profile), </w:t>
      </w:r>
      <w:r>
        <w:br/>
      </w:r>
      <w:r w:rsidRPr="0032422B">
        <w:t>BSI-CC-PP-0073</w:t>
      </w:r>
      <w:r>
        <w:t xml:space="preserve">. </w:t>
      </w:r>
    </w:p>
  </w:footnote>
  <w:footnote w:id="87">
    <w:p w:rsidR="005D5DB3" w:rsidRPr="0032422B" w:rsidRDefault="005D5DB3" w:rsidP="00400AF9">
      <w:pPr>
        <w:pStyle w:val="Funote"/>
      </w:pPr>
      <w:r w:rsidRPr="0032422B">
        <w:rPr>
          <w:rStyle w:val="Funotenzeichen"/>
        </w:rPr>
        <w:footnoteRef/>
      </w:r>
      <w:r w:rsidRPr="0032422B">
        <w:t xml:space="preserve"> </w:t>
      </w:r>
      <w:r>
        <w:tab/>
      </w:r>
      <w:r w:rsidRPr="0032422B">
        <w:t xml:space="preserve">Siehe </w:t>
      </w:r>
      <w:r w:rsidRPr="0032422B">
        <w:rPr>
          <w:i/>
        </w:rPr>
        <w:t>BSI</w:t>
      </w:r>
      <w:r w:rsidRPr="0032422B">
        <w:t>, Technische Richtlinie, BSI TR - 03109, Version0.20.</w:t>
      </w:r>
    </w:p>
  </w:footnote>
  <w:footnote w:id="88">
    <w:p w:rsidR="005D5DB3" w:rsidRPr="00127583" w:rsidRDefault="005D5DB3" w:rsidP="00400AF9">
      <w:pPr>
        <w:pStyle w:val="Funote"/>
      </w:pPr>
      <w:r w:rsidRPr="0032422B">
        <w:rPr>
          <w:rStyle w:val="Funotenzeichen"/>
        </w:rPr>
        <w:footnoteRef/>
      </w:r>
      <w:r w:rsidRPr="0032422B">
        <w:t xml:space="preserve"> </w:t>
      </w:r>
      <w:r>
        <w:tab/>
      </w:r>
      <w:r w:rsidRPr="0032422B">
        <w:t>Vgl. z.B. BSI-PP, Z. 332f sowie die Kardinalitäten in der Abbildung auf S. 13 des Schutzprofils.</w:t>
      </w:r>
    </w:p>
  </w:footnote>
  <w:footnote w:id="89">
    <w:p w:rsidR="005D5DB3" w:rsidRPr="00127583" w:rsidRDefault="005D5DB3" w:rsidP="00400AF9">
      <w:pPr>
        <w:pStyle w:val="Funote"/>
      </w:pPr>
      <w:r w:rsidRPr="00127583">
        <w:rPr>
          <w:rStyle w:val="Funotenzeichen"/>
        </w:rPr>
        <w:footnoteRef/>
      </w:r>
      <w:r w:rsidRPr="00127583">
        <w:t xml:space="preserve"> </w:t>
      </w:r>
      <w:r>
        <w:tab/>
      </w:r>
      <w:r w:rsidRPr="00127583">
        <w:t xml:space="preserve">Vgl. </w:t>
      </w:r>
      <w:r w:rsidRPr="00F27984">
        <w:rPr>
          <w:i/>
        </w:rPr>
        <w:t>Laupichler/Vollmer/Bast/Intemann</w:t>
      </w:r>
      <w:r w:rsidRPr="00127583">
        <w:t xml:space="preserve">, </w:t>
      </w:r>
      <w:r>
        <w:t>DuD 2011, 542,</w:t>
      </w:r>
      <w:r w:rsidRPr="00127583">
        <w:t xml:space="preserve"> 544. Zur Annahme der Mehrzahl externer Kommunikationspartner siehe auch die dortige Abbildung 1.</w:t>
      </w:r>
    </w:p>
  </w:footnote>
  <w:footnote w:id="90">
    <w:p w:rsidR="005D5DB3" w:rsidRPr="00127583" w:rsidRDefault="005D5DB3" w:rsidP="00400AF9">
      <w:pPr>
        <w:pStyle w:val="Funote"/>
        <w:rPr>
          <w:lang w:val="en-GB"/>
        </w:rPr>
      </w:pPr>
      <w:r w:rsidRPr="00127583">
        <w:rPr>
          <w:rStyle w:val="Funotenzeichen"/>
        </w:rPr>
        <w:footnoteRef/>
      </w:r>
      <w:r>
        <w:rPr>
          <w:lang w:val="en-US"/>
        </w:rPr>
        <w:t xml:space="preserve"> </w:t>
      </w:r>
      <w:r>
        <w:rPr>
          <w:lang w:val="en-US"/>
        </w:rPr>
        <w:tab/>
        <w:t xml:space="preserve">Vgl. </w:t>
      </w:r>
      <w:r w:rsidRPr="00127583">
        <w:rPr>
          <w:lang w:val="en-US"/>
        </w:rPr>
        <w:t>BSI</w:t>
      </w:r>
      <w:r>
        <w:rPr>
          <w:lang w:val="en-US"/>
        </w:rPr>
        <w:t>-CC</w:t>
      </w:r>
      <w:r w:rsidRPr="00127583">
        <w:rPr>
          <w:lang w:val="en-US"/>
        </w:rPr>
        <w:t>-PP</w:t>
      </w:r>
      <w:r>
        <w:rPr>
          <w:lang w:val="en-US"/>
        </w:rPr>
        <w:t>-0073</w:t>
      </w:r>
      <w:r w:rsidRPr="00127583">
        <w:rPr>
          <w:lang w:val="en-US"/>
        </w:rPr>
        <w:t xml:space="preserve">, Z. 1031: </w:t>
      </w:r>
      <w:r w:rsidRPr="00127583">
        <w:rPr>
          <w:i/>
          <w:lang w:val="en-US"/>
        </w:rPr>
        <w:t>„When the TOE submits information about the consumption or production of a certain commodity that is not relevant for the billing process, there is no need that this information is sent with a direct link to the identity of the consumer. In those cases the TOE shall replace the identity of the consumer by a pseudonymous identifier“</w:t>
      </w:r>
    </w:p>
  </w:footnote>
  <w:footnote w:id="91">
    <w:p w:rsidR="005D5DB3" w:rsidRPr="00127583" w:rsidRDefault="005D5DB3" w:rsidP="00400AF9">
      <w:pPr>
        <w:pStyle w:val="Funote"/>
      </w:pPr>
      <w:r w:rsidRPr="00127583">
        <w:rPr>
          <w:rStyle w:val="Funotenzeichen"/>
        </w:rPr>
        <w:footnoteRef/>
      </w:r>
      <w:r w:rsidRPr="00127583">
        <w:t xml:space="preserve"> </w:t>
      </w:r>
      <w:r>
        <w:tab/>
      </w:r>
      <w:r w:rsidRPr="00127583">
        <w:t>Vgl. BSI-TR</w:t>
      </w:r>
      <w:r>
        <w:t xml:space="preserve"> - 03109</w:t>
      </w:r>
      <w:r w:rsidRPr="00127583">
        <w:t xml:space="preserve">, Z. 411 ff: </w:t>
      </w:r>
      <w:r w:rsidRPr="00127583">
        <w:rPr>
          <w:i/>
        </w:rPr>
        <w:t>„Bei der Übertragung von nicht abrechnungsrel</w:t>
      </w:r>
      <w:r w:rsidRPr="00127583">
        <w:rPr>
          <w:i/>
        </w:rPr>
        <w:t>e</w:t>
      </w:r>
      <w:r w:rsidRPr="00127583">
        <w:rPr>
          <w:i/>
        </w:rPr>
        <w:t xml:space="preserve">vanten Messwerten vom Smart Meter Gateway an einen Marktteilnehmer [...] wird die im Datensatz enthaltene Identifikation des Zählers durch ein Pseudonym ersetzt. Damit auch die Identität des sendenden Gateways unerkannt bleibt, müssen die </w:t>
      </w:r>
      <w:r>
        <w:rPr>
          <w:i/>
        </w:rPr>
        <w:br/>
      </w:r>
      <w:r w:rsidRPr="00127583">
        <w:rPr>
          <w:i/>
        </w:rPr>
        <w:t>Daten zusätzlich über einen Dritten (z.B: den Messstellenbetreiber) an den Endem</w:t>
      </w:r>
      <w:r w:rsidRPr="00127583">
        <w:rPr>
          <w:i/>
        </w:rPr>
        <w:t>p</w:t>
      </w:r>
      <w:r w:rsidRPr="00127583">
        <w:rPr>
          <w:i/>
        </w:rPr>
        <w:t xml:space="preserve">fänger vermittelt werden.“ </w:t>
      </w:r>
      <w:r w:rsidRPr="00127583">
        <w:t>Fraglich ist derzeit noch, inwiefern hier das energiewir</w:t>
      </w:r>
      <w:r w:rsidRPr="00127583">
        <w:t>t</w:t>
      </w:r>
      <w:r w:rsidRPr="00127583">
        <w:t>schaftsrechtliche – und insbesondere netzentgelt- und bilanzierungsrelevante Daten einschließende – Verständnis von Abrechnungsrelevanz zu Grunde gelegt wird.</w:t>
      </w:r>
    </w:p>
  </w:footnote>
  <w:footnote w:id="92">
    <w:p w:rsidR="005D5DB3" w:rsidRPr="000132C3" w:rsidRDefault="005D5DB3" w:rsidP="00400AF9">
      <w:pPr>
        <w:pStyle w:val="Funote"/>
      </w:pPr>
      <w:r>
        <w:rPr>
          <w:rStyle w:val="Funotenzeichen"/>
        </w:rPr>
        <w:footnoteRef/>
      </w:r>
      <w:r w:rsidRPr="000132C3">
        <w:t xml:space="preserve"> </w:t>
      </w:r>
      <w:r>
        <w:tab/>
      </w:r>
      <w:r w:rsidRPr="000132C3">
        <w:t>BT-Drs. 17/6072, S. 80.</w:t>
      </w:r>
    </w:p>
  </w:footnote>
  <w:footnote w:id="93">
    <w:p w:rsidR="005D5DB3" w:rsidRPr="000132C3" w:rsidRDefault="005D5DB3" w:rsidP="00400AF9">
      <w:pPr>
        <w:pStyle w:val="Funote"/>
      </w:pPr>
      <w:r>
        <w:rPr>
          <w:rStyle w:val="Funotenzeichen"/>
        </w:rPr>
        <w:footnoteRef/>
      </w:r>
      <w:r w:rsidRPr="000132C3">
        <w:t xml:space="preserve"> </w:t>
      </w:r>
      <w:r>
        <w:tab/>
      </w:r>
      <w:r w:rsidRPr="00F556ED">
        <w:rPr>
          <w:i/>
        </w:rPr>
        <w:t>V.Wege/Wagner</w:t>
      </w:r>
      <w:r w:rsidRPr="008807CA">
        <w:t>, N&amp;R, 2016, 2, 10.</w:t>
      </w:r>
    </w:p>
  </w:footnote>
  <w:footnote w:id="94">
    <w:p w:rsidR="005D5DB3" w:rsidRPr="008576CD" w:rsidRDefault="005D5DB3" w:rsidP="00400AF9">
      <w:pPr>
        <w:pStyle w:val="Funote"/>
      </w:pPr>
      <w:r>
        <w:rPr>
          <w:rStyle w:val="Funotenzeichen"/>
        </w:rPr>
        <w:footnoteRef/>
      </w:r>
      <w:r w:rsidRPr="00F55B3D">
        <w:t xml:space="preserve"> </w:t>
      </w:r>
      <w:r>
        <w:tab/>
      </w:r>
      <w:r w:rsidRPr="008576CD">
        <w:t>Teil 2 B.II.1.c.ii.</w:t>
      </w:r>
    </w:p>
  </w:footnote>
  <w:footnote w:id="95">
    <w:p w:rsidR="005D5DB3" w:rsidRPr="008807CA" w:rsidRDefault="005D5DB3" w:rsidP="00400AF9">
      <w:pPr>
        <w:pStyle w:val="Funote"/>
      </w:pPr>
      <w:r w:rsidRPr="008807CA">
        <w:rPr>
          <w:rStyle w:val="Funotenzeichen"/>
        </w:rPr>
        <w:footnoteRef/>
      </w:r>
      <w:r w:rsidRPr="008807CA">
        <w:t xml:space="preserve"> </w:t>
      </w:r>
      <w:r>
        <w:tab/>
      </w:r>
      <w:r w:rsidRPr="008807CA">
        <w:rPr>
          <w:i/>
        </w:rPr>
        <w:t xml:space="preserve">BSI, </w:t>
      </w:r>
      <w:r w:rsidRPr="008807CA">
        <w:t xml:space="preserve">Schutzprofil für die Kommunikationseinheit eines intelligenten Messsystems </w:t>
      </w:r>
      <w:r>
        <w:br/>
      </w:r>
      <w:r w:rsidRPr="008807CA">
        <w:t>für Stoff- und Energiemengen, (Smart Meter Gateway Protection Profile)</w:t>
      </w:r>
      <w:r w:rsidRPr="008807CA">
        <w:rPr>
          <w:i/>
        </w:rPr>
        <w:t xml:space="preserve">, </w:t>
      </w:r>
      <w:r>
        <w:rPr>
          <w:i/>
        </w:rPr>
        <w:br/>
      </w:r>
      <w:r w:rsidRPr="008807CA">
        <w:t xml:space="preserve">BSI-CC-PP-0073. </w:t>
      </w:r>
    </w:p>
  </w:footnote>
  <w:footnote w:id="96">
    <w:p w:rsidR="005D5DB3" w:rsidRPr="008807CA" w:rsidRDefault="005D5DB3" w:rsidP="00400AF9">
      <w:pPr>
        <w:pStyle w:val="Funote"/>
      </w:pPr>
      <w:r w:rsidRPr="008807CA">
        <w:rPr>
          <w:rStyle w:val="Funotenzeichen"/>
        </w:rPr>
        <w:footnoteRef/>
      </w:r>
      <w:r w:rsidRPr="008807CA">
        <w:t xml:space="preserve"> </w:t>
      </w:r>
      <w:r>
        <w:tab/>
      </w:r>
      <w:r w:rsidRPr="008807CA">
        <w:t xml:space="preserve">Der Auftrag zur Erarbeitung dieses Schutzprofils wurde bereits deutlich vor der Novelle des EnWG im September 2010 erteilt. Siehe auch </w:t>
      </w:r>
      <w:r w:rsidRPr="008807CA">
        <w:rPr>
          <w:i/>
        </w:rPr>
        <w:t xml:space="preserve">Kowalski, </w:t>
      </w:r>
      <w:r w:rsidRPr="008807CA">
        <w:t xml:space="preserve">Entwicklung von Schutzprofilen, in: Bub/Wolfenstetter, IT-Sicherheit zwischen Regulierung und Innovation, S. 137. </w:t>
      </w:r>
    </w:p>
  </w:footnote>
  <w:footnote w:id="97">
    <w:p w:rsidR="005D5DB3" w:rsidRPr="008807CA" w:rsidRDefault="005D5DB3" w:rsidP="00400AF9">
      <w:pPr>
        <w:pStyle w:val="Funote"/>
      </w:pPr>
      <w:r w:rsidRPr="008807CA">
        <w:rPr>
          <w:rStyle w:val="Funotenzeichen"/>
        </w:rPr>
        <w:footnoteRef/>
      </w:r>
      <w:r w:rsidRPr="008807CA">
        <w:rPr>
          <w:rStyle w:val="Funotenzeichen"/>
        </w:rPr>
        <w:t xml:space="preserve"> </w:t>
      </w:r>
      <w:r>
        <w:rPr>
          <w:rStyle w:val="Funotenzeichen"/>
        </w:rPr>
        <w:tab/>
      </w:r>
      <w:r w:rsidRPr="008807CA">
        <w:t xml:space="preserve">Siehe hierzu ausführlich </w:t>
      </w:r>
      <w:r w:rsidRPr="008807CA">
        <w:rPr>
          <w:i/>
        </w:rPr>
        <w:t>Raabe/Lorenz/Pallas/Weis</w:t>
      </w:r>
      <w:r w:rsidRPr="008807CA">
        <w:t>, CR 2011, 832.</w:t>
      </w:r>
    </w:p>
  </w:footnote>
  <w:footnote w:id="98">
    <w:p w:rsidR="005D5DB3" w:rsidRPr="008807CA" w:rsidRDefault="005D5DB3" w:rsidP="00B90A4E">
      <w:pPr>
        <w:pStyle w:val="Funote"/>
      </w:pPr>
      <w:r w:rsidRPr="008807CA">
        <w:rPr>
          <w:rStyle w:val="Funotenzeichen"/>
        </w:rPr>
        <w:footnoteRef/>
      </w:r>
      <w:r w:rsidRPr="008807CA">
        <w:t xml:space="preserve"> </w:t>
      </w:r>
      <w:r>
        <w:tab/>
      </w:r>
      <w:r w:rsidRPr="008807CA">
        <w:t xml:space="preserve">Siehe hierzu ausführlich </w:t>
      </w:r>
      <w:r w:rsidRPr="008807CA">
        <w:rPr>
          <w:i/>
        </w:rPr>
        <w:t>Raabe/Lorenz/Pallas/Weis</w:t>
      </w:r>
      <w:r w:rsidRPr="008807CA">
        <w:t>, CR 2011, 832.</w:t>
      </w:r>
    </w:p>
  </w:footnote>
  <w:footnote w:id="99">
    <w:p w:rsidR="005D5DB3" w:rsidRPr="008807CA" w:rsidRDefault="005D5DB3" w:rsidP="00B90A4E">
      <w:pPr>
        <w:pStyle w:val="Funote"/>
      </w:pPr>
      <w:r w:rsidRPr="008807CA">
        <w:rPr>
          <w:rStyle w:val="Funotenzeichen"/>
        </w:rPr>
        <w:footnoteRef/>
      </w:r>
      <w:r w:rsidRPr="008807CA">
        <w:rPr>
          <w:rStyle w:val="Funotenzeichen"/>
        </w:rPr>
        <w:t xml:space="preserve"> </w:t>
      </w:r>
      <w:r>
        <w:tab/>
      </w:r>
      <w:r w:rsidRPr="008807CA">
        <w:rPr>
          <w:i/>
        </w:rPr>
        <w:t xml:space="preserve">BSI, </w:t>
      </w:r>
      <w:r w:rsidRPr="008807CA">
        <w:t xml:space="preserve">Schutzprofil für die Kommunikationseinheit eines intelligenten Messsystems </w:t>
      </w:r>
      <w:r>
        <w:br/>
      </w:r>
      <w:r w:rsidRPr="008807CA">
        <w:t>für Stoff- und Energiemengen, (Smart Meter Gateway Protection Profile)</w:t>
      </w:r>
      <w:r w:rsidRPr="008807CA">
        <w:rPr>
          <w:i/>
        </w:rPr>
        <w:t xml:space="preserve">, </w:t>
      </w:r>
      <w:r>
        <w:rPr>
          <w:i/>
        </w:rPr>
        <w:br/>
      </w:r>
      <w:r w:rsidRPr="008807CA">
        <w:t xml:space="preserve">BSI-CC-PP-0073. </w:t>
      </w:r>
    </w:p>
  </w:footnote>
  <w:footnote w:id="100">
    <w:p w:rsidR="005D5DB3" w:rsidRPr="008807CA" w:rsidRDefault="005D5DB3" w:rsidP="00B90A4E">
      <w:pPr>
        <w:pStyle w:val="Funote"/>
      </w:pPr>
      <w:r w:rsidRPr="008807CA">
        <w:rPr>
          <w:rStyle w:val="Funotenzeichen"/>
        </w:rPr>
        <w:footnoteRef/>
      </w:r>
      <w:r w:rsidRPr="008807CA">
        <w:t xml:space="preserve"> </w:t>
      </w:r>
      <w:r>
        <w:tab/>
      </w:r>
      <w:r w:rsidRPr="008807CA">
        <w:t xml:space="preserve">Siehe hierzu ausführlich </w:t>
      </w:r>
      <w:r w:rsidRPr="008807CA">
        <w:rPr>
          <w:i/>
        </w:rPr>
        <w:t>Raabe/Lorenz/Pallas/Weis</w:t>
      </w:r>
      <w:r w:rsidRPr="008807CA">
        <w:t>, CR 2011, 832.</w:t>
      </w:r>
    </w:p>
  </w:footnote>
  <w:footnote w:id="101">
    <w:p w:rsidR="005D5DB3" w:rsidRPr="00B90A4E" w:rsidRDefault="005D5DB3" w:rsidP="00B90A4E">
      <w:pPr>
        <w:pStyle w:val="Funote"/>
      </w:pPr>
      <w:r w:rsidRPr="00F556ED">
        <w:rPr>
          <w:rStyle w:val="Funotenzeichen"/>
        </w:rPr>
        <w:footnoteRef/>
      </w:r>
      <w:r w:rsidRPr="00B90A4E">
        <w:t xml:space="preserve"> </w:t>
      </w:r>
      <w:r>
        <w:tab/>
      </w:r>
      <w:r w:rsidRPr="00B90A4E">
        <w:t>BSI-CC-PP-0073, Z. 332f; für jeden auf das Messsystem zugreifenden Akteur würde dabei ein gesondertes Berechtigungsprofil auf dem Gateway hinterlegt. So auch die BSI-Mitarbeiter Laupichler/Vollmer/Bast/Intemann, DuD 2011, 544, die auch dort von einer Mehrzahl externer Kommunikationspartner sprechen und dies in Abbi</w:t>
      </w:r>
      <w:r w:rsidRPr="00B90A4E">
        <w:t>l</w:t>
      </w:r>
      <w:r w:rsidRPr="00B90A4E">
        <w:t xml:space="preserve">dung 1 auch so aufzeigen. </w:t>
      </w:r>
    </w:p>
  </w:footnote>
  <w:footnote w:id="102">
    <w:p w:rsidR="005D5DB3" w:rsidRPr="00B90A4E" w:rsidRDefault="005D5DB3" w:rsidP="00B90A4E">
      <w:pPr>
        <w:pStyle w:val="Funote"/>
      </w:pPr>
      <w:r w:rsidRPr="00F556ED">
        <w:rPr>
          <w:rStyle w:val="Funotenzeichen"/>
        </w:rPr>
        <w:footnoteRef/>
      </w:r>
      <w:r w:rsidRPr="00B90A4E">
        <w:t xml:space="preserve"> </w:t>
      </w:r>
      <w:r>
        <w:tab/>
      </w:r>
      <w:r w:rsidRPr="00B90A4E">
        <w:t>Siehe hierzu insbesondere den Prozess Zählerstand-/Zählwertübermittlung in BNetzA, Anlage 2 zum Beschluss BK6-09-034 vom 09.09.2010, S. 11ff. Eine Änd</w:t>
      </w:r>
      <w:r w:rsidRPr="00B90A4E">
        <w:t>e</w:t>
      </w:r>
      <w:r w:rsidRPr="00B90A4E">
        <w:t>rung dieses Prozesses erfolgte dann nach der Novelle 2011 in BNetzA, Anlage 1 zum Beschluss BK6-11-150 vom 28.10.2011, S. 30ff. Diese Änderung ließ das Komm</w:t>
      </w:r>
      <w:r w:rsidRPr="00B90A4E">
        <w:t>u</w:t>
      </w:r>
      <w:r w:rsidRPr="00B90A4E">
        <w:t>nikationsparadigma jedoch unberührt.</w:t>
      </w:r>
    </w:p>
  </w:footnote>
  <w:footnote w:id="103">
    <w:p w:rsidR="005D5DB3" w:rsidRPr="00664250" w:rsidRDefault="005D5DB3" w:rsidP="00B90A4E">
      <w:pPr>
        <w:pStyle w:val="Funote"/>
      </w:pPr>
      <w:r w:rsidRPr="00F556ED">
        <w:rPr>
          <w:rStyle w:val="Funotenzeichen"/>
        </w:rPr>
        <w:footnoteRef/>
      </w:r>
      <w:r w:rsidRPr="00B90A4E">
        <w:t xml:space="preserve"> </w:t>
      </w:r>
      <w:r>
        <w:tab/>
      </w:r>
      <w:r w:rsidRPr="00B90A4E">
        <w:t xml:space="preserve">Siehe hierzu auch ausführlich </w:t>
      </w:r>
      <w:r w:rsidRPr="00F556ED">
        <w:rPr>
          <w:i/>
        </w:rPr>
        <w:t>Raabe/Lorenz/Pallas/Weis</w:t>
      </w:r>
      <w:r w:rsidRPr="00B90A4E">
        <w:t>, CR 2011, 831.</w:t>
      </w:r>
    </w:p>
  </w:footnote>
  <w:footnote w:id="104">
    <w:p w:rsidR="005D5DB3" w:rsidRPr="00B90A4E" w:rsidRDefault="005D5DB3" w:rsidP="00B90A4E">
      <w:pPr>
        <w:pStyle w:val="Funote"/>
      </w:pPr>
      <w:r w:rsidRPr="00F556ED">
        <w:rPr>
          <w:rStyle w:val="Funotenzeichen"/>
        </w:rPr>
        <w:footnoteRef/>
      </w:r>
      <w:r w:rsidRPr="00B90A4E">
        <w:t xml:space="preserve"> </w:t>
      </w:r>
      <w:r>
        <w:tab/>
      </w:r>
      <w:r w:rsidRPr="00B90A4E">
        <w:t xml:space="preserve">Im Ergebnis auch </w:t>
      </w:r>
      <w:r w:rsidRPr="00F556ED">
        <w:rPr>
          <w:i/>
        </w:rPr>
        <w:t>Weis/Pallas/Lorenz/Raabe</w:t>
      </w:r>
      <w:r w:rsidRPr="00B90A4E">
        <w:t>, Handbuch zur Elektromobilität, im Erscheinen, Rn. 69.</w:t>
      </w:r>
    </w:p>
  </w:footnote>
  <w:footnote w:id="105">
    <w:p w:rsidR="005D5DB3" w:rsidRPr="00540E3A" w:rsidRDefault="005D5DB3" w:rsidP="00B90A4E">
      <w:pPr>
        <w:pStyle w:val="Funote"/>
      </w:pPr>
      <w:r w:rsidRPr="003063C0">
        <w:rPr>
          <w:rStyle w:val="Funotenzeichen"/>
        </w:rPr>
        <w:footnoteRef/>
      </w:r>
      <w:r w:rsidRPr="003063C0">
        <w:rPr>
          <w:rStyle w:val="Funotenzeichen"/>
        </w:rPr>
        <w:t xml:space="preserve"> </w:t>
      </w:r>
      <w:r>
        <w:tab/>
        <w:t>BT-</w:t>
      </w:r>
      <w:r w:rsidRPr="00540E3A">
        <w:t xml:space="preserve">Drs. 18/7555, Begründung S. 108. </w:t>
      </w:r>
    </w:p>
  </w:footnote>
  <w:footnote w:id="106">
    <w:p w:rsidR="005D5DB3" w:rsidRPr="00540E3A" w:rsidRDefault="005D5DB3" w:rsidP="00400AF9">
      <w:pPr>
        <w:pStyle w:val="Funote"/>
      </w:pPr>
      <w:r w:rsidRPr="003063C0">
        <w:rPr>
          <w:rStyle w:val="Funotenzeichen"/>
        </w:rPr>
        <w:footnoteRef/>
      </w:r>
      <w:r w:rsidRPr="003063C0">
        <w:rPr>
          <w:rStyle w:val="Funotenzeichen"/>
        </w:rPr>
        <w:t xml:space="preserve"> </w:t>
      </w:r>
      <w:r>
        <w:tab/>
        <w:t>BT-</w:t>
      </w:r>
      <w:r w:rsidRPr="00540E3A">
        <w:t>Drs. 18/7555, Begründung S. 108.</w:t>
      </w:r>
    </w:p>
  </w:footnote>
  <w:footnote w:id="107">
    <w:p w:rsidR="005D5DB3" w:rsidRPr="0002423C" w:rsidRDefault="005D5DB3" w:rsidP="00400AF9">
      <w:pPr>
        <w:pStyle w:val="Funote"/>
        <w:rPr>
          <w:szCs w:val="18"/>
        </w:rPr>
      </w:pPr>
      <w:r w:rsidRPr="003063C0">
        <w:rPr>
          <w:rStyle w:val="Funotenzeichen"/>
        </w:rPr>
        <w:footnoteRef/>
      </w:r>
      <w:r w:rsidRPr="003063C0">
        <w:rPr>
          <w:rStyle w:val="Funotenzeichen"/>
        </w:rPr>
        <w:t xml:space="preserve"> </w:t>
      </w:r>
      <w:r>
        <w:tab/>
      </w:r>
      <w:r w:rsidRPr="00540E3A">
        <w:t xml:space="preserve">Im Ergebnis auch </w:t>
      </w:r>
      <w:r w:rsidRPr="00041DFF">
        <w:rPr>
          <w:i/>
        </w:rPr>
        <w:t>Weis/Pallas/Lorenz/Raabe</w:t>
      </w:r>
      <w:r w:rsidRPr="00540E3A">
        <w:t>,</w:t>
      </w:r>
      <w:r>
        <w:t xml:space="preserve"> in: </w:t>
      </w:r>
      <w:r>
        <w:rPr>
          <w:i/>
        </w:rPr>
        <w:t>Boesche/Franz/Fest/</w:t>
      </w:r>
      <w:r w:rsidRPr="002D5F74">
        <w:rPr>
          <w:i/>
        </w:rPr>
        <w:t xml:space="preserve">Gaul, </w:t>
      </w:r>
      <w:r w:rsidRPr="002D5F74">
        <w:t>Berliner</w:t>
      </w:r>
      <w:r>
        <w:t xml:space="preserve"> Handbuch zur </w:t>
      </w:r>
      <w:r w:rsidRPr="007A6219">
        <w:t xml:space="preserve">Elektromobilität, </w:t>
      </w:r>
      <w:r>
        <w:t>S. 298 ff</w:t>
      </w:r>
      <w:r w:rsidRPr="007A6219">
        <w:t>.</w:t>
      </w:r>
      <w:r>
        <w:t xml:space="preserve"> </w:t>
      </w:r>
    </w:p>
  </w:footnote>
  <w:footnote w:id="108">
    <w:p w:rsidR="005D5DB3" w:rsidRDefault="005D5DB3" w:rsidP="00400AF9">
      <w:pPr>
        <w:pStyle w:val="Funote"/>
      </w:pPr>
      <w:r>
        <w:rPr>
          <w:rStyle w:val="Funotenzeichen"/>
        </w:rPr>
        <w:footnoteRef/>
      </w:r>
      <w:r>
        <w:t xml:space="preserve"> </w:t>
      </w:r>
      <w:r>
        <w:tab/>
      </w:r>
      <w:r w:rsidRPr="00F25EAA">
        <w:t>Auf Basis dieses Paradigmas wurde angenommen, dass es bei den jeweiligen Mark</w:t>
      </w:r>
      <w:r w:rsidRPr="00F25EAA">
        <w:t>t</w:t>
      </w:r>
      <w:r w:rsidRPr="00F25EAA">
        <w:t>akteuren nur unmittelbar aus dem Messsystem stammende Messdaten geben würde. In Gesamtschau des datenschutzrechtlichen Schutzkonzeptes des EnWG war jedoch, wie sich hier bestätigt, davon auszugehen, dass sich der Gesetzgeber diese Sicht bei der systematischen Gestaltung der Vor</w:t>
      </w:r>
      <w:r>
        <w:t xml:space="preserve">schriften zu </w:t>
      </w:r>
      <w:proofErr w:type="gramStart"/>
      <w:r>
        <w:t>e</w:t>
      </w:r>
      <w:r w:rsidRPr="00F25EAA">
        <w:t>igen</w:t>
      </w:r>
      <w:proofErr w:type="gramEnd"/>
      <w:r w:rsidRPr="00F25EAA">
        <w:t xml:space="preserve"> gemacht hat. </w:t>
      </w:r>
      <w:r>
        <w:t>Bei einer Or</w:t>
      </w:r>
      <w:r>
        <w:t>i</w:t>
      </w:r>
      <w:r>
        <w:t xml:space="preserve">entierung </w:t>
      </w:r>
      <w:r w:rsidRPr="00F25EAA">
        <w:t>an den derzeit noch geltenden Festlegungen der BNetzA zur Marktko</w:t>
      </w:r>
      <w:r w:rsidRPr="00F25EAA">
        <w:t>m</w:t>
      </w:r>
      <w:r w:rsidRPr="00F25EAA">
        <w:t xml:space="preserve">munikation, musste </w:t>
      </w:r>
      <w:r>
        <w:t xml:space="preserve">hingegen </w:t>
      </w:r>
      <w:r w:rsidRPr="00F25EAA">
        <w:t>von einer Kettenko</w:t>
      </w:r>
      <w:r>
        <w:t>mmunikation ausgegangen werden.</w:t>
      </w:r>
    </w:p>
  </w:footnote>
  <w:footnote w:id="109">
    <w:p w:rsidR="005D5DB3" w:rsidRDefault="005D5DB3" w:rsidP="004248C3">
      <w:pPr>
        <w:pStyle w:val="Funote"/>
      </w:pPr>
      <w:r>
        <w:rPr>
          <w:rStyle w:val="Funotenzeichen"/>
        </w:rPr>
        <w:footnoteRef/>
      </w:r>
      <w:r>
        <w:t xml:space="preserve"> </w:t>
      </w:r>
      <w:r>
        <w:tab/>
      </w:r>
      <w:r w:rsidRPr="00662937">
        <w:rPr>
          <w:i/>
        </w:rPr>
        <w:t>Willke</w:t>
      </w:r>
      <w:r w:rsidRPr="00A379CD">
        <w:t>, System</w:t>
      </w:r>
      <w:r>
        <w:t>isches Wissensmanagement, S. 11;</w:t>
      </w:r>
      <w:r w:rsidRPr="00A379CD">
        <w:t xml:space="preserve"> </w:t>
      </w:r>
      <w:r w:rsidRPr="00662937">
        <w:rPr>
          <w:i/>
        </w:rPr>
        <w:t>Albers</w:t>
      </w:r>
      <w:r w:rsidRPr="00A379CD">
        <w:t>, Komplexität verfassung</w:t>
      </w:r>
      <w:r w:rsidRPr="00A379CD">
        <w:t>s</w:t>
      </w:r>
      <w:r w:rsidRPr="00A379CD">
        <w:t>rechtlicher Vorgaben, in: Spiecker/Collin, Generierung und Transfer staatlichen Wi</w:t>
      </w:r>
      <w:r w:rsidRPr="00A379CD">
        <w:t>s</w:t>
      </w:r>
      <w:r w:rsidRPr="00A379CD">
        <w:t>sens im System des Verwaltungsrechts, S. 55.</w:t>
      </w:r>
    </w:p>
  </w:footnote>
  <w:footnote w:id="110">
    <w:p w:rsidR="005D5DB3" w:rsidRPr="00354FB1" w:rsidRDefault="005D5DB3" w:rsidP="004248C3">
      <w:pPr>
        <w:pStyle w:val="Funote"/>
        <w:rPr>
          <w:lang w:val="en-GB"/>
        </w:rPr>
      </w:pPr>
      <w:r>
        <w:rPr>
          <w:rStyle w:val="Funotenzeichen"/>
        </w:rPr>
        <w:footnoteRef/>
      </w:r>
      <w:r w:rsidRPr="004248C3">
        <w:rPr>
          <w:lang w:val="en-US"/>
        </w:rPr>
        <w:t xml:space="preserve"> </w:t>
      </w:r>
      <w:r>
        <w:rPr>
          <w:lang w:val="en-US"/>
        </w:rPr>
        <w:tab/>
      </w:r>
      <w:r w:rsidRPr="004248C3">
        <w:rPr>
          <w:lang w:val="en-US"/>
        </w:rPr>
        <w:t>Abbildung von Aamodt/Nygård, Different roles and mutual dependencies of data, information</w:t>
      </w:r>
      <w:proofErr w:type="gramStart"/>
      <w:r w:rsidRPr="004248C3">
        <w:rPr>
          <w:lang w:val="en-US"/>
        </w:rPr>
        <w:t>,and</w:t>
      </w:r>
      <w:proofErr w:type="gramEnd"/>
      <w:r w:rsidRPr="004248C3">
        <w:rPr>
          <w:lang w:val="en-US"/>
        </w:rPr>
        <w:t xml:space="preserve"> knowledge - an AI perspective </w:t>
      </w:r>
      <w:r w:rsidRPr="00A379CD">
        <w:rPr>
          <w:lang w:val="en-GB"/>
        </w:rPr>
        <w:t xml:space="preserve">on their integration, Data and Knowledge Engineering 16 (1995) 191, 200. </w:t>
      </w:r>
    </w:p>
  </w:footnote>
  <w:footnote w:id="111">
    <w:p w:rsidR="005D5DB3" w:rsidRDefault="005D5DB3" w:rsidP="004248C3">
      <w:pPr>
        <w:pStyle w:val="Funote"/>
      </w:pPr>
      <w:r>
        <w:rPr>
          <w:rStyle w:val="Funotenzeichen"/>
        </w:rPr>
        <w:footnoteRef/>
      </w:r>
      <w:r>
        <w:t xml:space="preserve"> </w:t>
      </w:r>
      <w:r>
        <w:tab/>
      </w:r>
      <w:r w:rsidRPr="001C1584">
        <w:rPr>
          <w:i/>
        </w:rPr>
        <w:t>Hoffmann-Riem</w:t>
      </w:r>
      <w:r>
        <w:t xml:space="preserve">, Regulierungswissen in der Regulierung, in: Bora/Henkel/Reinhard, Wissensregulierung und Regulierungswissen, S. 137. </w:t>
      </w:r>
    </w:p>
  </w:footnote>
  <w:footnote w:id="112">
    <w:p w:rsidR="005D5DB3" w:rsidRPr="00BF2CE1" w:rsidRDefault="005D5DB3" w:rsidP="004248C3">
      <w:pPr>
        <w:pStyle w:val="Funote"/>
        <w:rPr>
          <w:lang w:val="en-US"/>
        </w:rPr>
      </w:pPr>
      <w:r>
        <w:rPr>
          <w:rStyle w:val="Funotenzeichen"/>
        </w:rPr>
        <w:footnoteRef/>
      </w:r>
      <w:r>
        <w:t xml:space="preserve"> </w:t>
      </w:r>
      <w:r>
        <w:tab/>
      </w:r>
      <w:r w:rsidRPr="001C1584">
        <w:rPr>
          <w:i/>
        </w:rPr>
        <w:t>Eifert, Regulierungsstrategien</w:t>
      </w:r>
      <w:r>
        <w:t>, in: Wolfgang Hoffmann-Riem/Schmidt-Aßmann/</w:t>
      </w:r>
      <w:r>
        <w:br/>
        <w:t xml:space="preserve">Vosskuhle Grundlagen des Verwaltungsrechts Bd. </w:t>
      </w:r>
      <w:r w:rsidRPr="00BF2CE1">
        <w:rPr>
          <w:lang w:val="en-US"/>
        </w:rPr>
        <w:t xml:space="preserve">I, § 19 Rn. 8. </w:t>
      </w:r>
    </w:p>
  </w:footnote>
  <w:footnote w:id="113">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551aa641-70b5-4f6d-b10b-c8a104bb99dc PFBsYWNlaG9sZGVyPg0KICA8QWRkSW5WZXJzaW9uPjQuNC4wLjI4PC9BZGRJblZlcnNpb24+DQogIDxJZD41NTFhYTY0MS03MGI1LTRmNmQtYjEwYi1jOGExMDRiYjk5ZGM8L0lkPg0KICA8RW50cmllcz4NCiAgICA8RW50cnk+DQogICAgICA8SWQ+OWVlN2RjNDYtYjk1Mi00ZjgzLWE0MTAtYWUxOWE3OTE3YTFk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19.</w:t>
      </w:r>
    </w:p>
  </w:footnote>
  <w:footnote w:id="114">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a854cdc3-4433-431c-ac85-068a4819f162 PFBsYWNlaG9sZGVyPg0KICA8QWRkSW5WZXJzaW9uPjQuNC4wLjI4PC9BZGRJblZlcnNpb24+DQogIDxJZD5hODU0Y2RjMy00NDMzLTQzMWMtYWM4NS0wNjhhNDgxOWYxNjI8L0lkPg0KICA8RW50cmllcz4NCiAgICA8RW50cnk+DQogICAgICA8SWQ+ZWQ2N2FmOWQtYTZjYy00MmM4LWExNTktY2I1ZjhlYzEwNmY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19.</w:t>
      </w:r>
    </w:p>
  </w:footnote>
  <w:footnote w:id="115">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f041710b-d933-4fd6-8130-eced3d15dd8e PFBsYWNlaG9sZGVyPg0KICA8QWRkSW5WZXJzaW9uPjQuNC4wLjI4PC9BZGRJblZlcnNpb24+DQogIDxJZD5mMDQxNzEwYi1kOTMzLTRmZDYtODEzMC1lY2VkM2QxNWRkOGU8L0lkPg0KICA8RW50cmllcz4NCiAgICA8RW50cnk+DQogICAgICA8SWQ+YjBlMTdhN2MtOTI0OS00YzMxLWE5NWUtOTIxZmQ5ZGE2Yjlk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sidRPr="00BF2CE1">
        <w:rPr>
          <w:lang w:val="en-US"/>
        </w:rPr>
        <w:t xml:space="preserve">, </w:t>
      </w:r>
      <w:r>
        <w:rPr>
          <w:lang w:val="en-US"/>
        </w:rPr>
        <w:t>Allgemeine Rechtslehre</w:t>
      </w:r>
      <w:r>
        <w:fldChar w:fldCharType="end"/>
      </w:r>
      <w:r w:rsidRPr="00BF2CE1">
        <w:rPr>
          <w:lang w:val="en-US"/>
        </w:rPr>
        <w:t>, S. 19.</w:t>
      </w:r>
    </w:p>
  </w:footnote>
  <w:footnote w:id="116">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0d659a5b-cbfa-40d1-81e6-f37b74196a1f PFBsYWNlaG9sZGVyPg0KICA8QWRkSW5WZXJzaW9uPjQuNC4wLjI4PC9BZGRJblZlcnNpb24+DQogIDxJZD4wZDY1OWE1Yi1jYmZhLTQwZDEtODFlNi1mMzdiNzQxOTZhMWY8L0lkPg0KICA8RW50cmllcz4NCiAgICA8RW50cnk+DQogICAgICA8SWQ+ZmRkM2RhMDctYjk2MS00OWQ5LWEwY2UtYzY4YzZjNmYwNTZi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20.</w:t>
      </w:r>
    </w:p>
  </w:footnote>
  <w:footnote w:id="117">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d731f375-bc23-4feb-b30a-1c3e6c64bc8a PFBsYWNlaG9sZGVyPg0KICA8QWRkSW5WZXJzaW9uPjQuNC4wLjI4PC9BZGRJblZlcnNpb24+DQogIDxJZD5kNzMxZjM3NS1iYzIzLTRmZWItYjMwYS0xYzNlNmM2NGJjOGE8L0lkPg0KICA8RW50cmllcz4NCiAgICA8RW50cnk+DQogICAgICA8SWQ+NDBlMjE4NzctZWRjZS00NTRkLTkxY2ItMWMzODk2NjliNGY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22.</w:t>
      </w:r>
    </w:p>
  </w:footnote>
  <w:footnote w:id="118">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0e1c8800-9571-454b-899e-7a399b67d0be PFBsYWNlaG9sZGVyPg0KICA8QWRkSW5WZXJzaW9uPjQuNC4wLjI4PC9BZGRJblZlcnNpb24+DQogIDxJZD4wZTFjODgwMC05NTcxLTQ1NGItODk5ZS03YTM5OWI2N2QwYmU8L0lkPg0KICA8RW50cmllcz4NCiAgICA8RW50cnk+DQogICAgICA8SWQ+MGI0YmUzNGItYTUyNi00MjdlLTllNmQtODQ5NjE0MmUzZTJi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sidRPr="00BF2CE1">
        <w:rPr>
          <w:lang w:val="en-US"/>
        </w:rPr>
        <w:t>, Allgemeine Rechtsleh</w:t>
      </w:r>
      <w:r>
        <w:rPr>
          <w:lang w:val="en-US"/>
        </w:rPr>
        <w:t>re</w:t>
      </w:r>
      <w:r>
        <w:fldChar w:fldCharType="end"/>
      </w:r>
      <w:r w:rsidRPr="00BF2CE1">
        <w:rPr>
          <w:lang w:val="en-US"/>
        </w:rPr>
        <w:t>, S. 22.</w:t>
      </w:r>
    </w:p>
  </w:footnote>
  <w:footnote w:id="119">
    <w:p w:rsidR="005D5DB3" w:rsidRPr="001F50A9"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2de9dd25-84ac-4714-953d-f361d473ed72 PFBsYWNlaG9sZGVyPg0KICA8QWRkSW5WZXJzaW9uPjQuNC4wLjI4PC9BZGRJblZlcnNpb24+DQogIDxJZD4yZGU5ZGQyNS04NGFjLTQ3MTQtOTUzZC1mMzYxZDQ3M2VkNzI8L0lkPg0KICA8RW50cmllcz4NCiAgICA8RW50cnk+DQogICAgICA8SWQ+NTRkZTY3NzgtYjg2YS00ZDU4LTg1ZDAtZGJkMGJhZjgyOWU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w:instrText>
      </w:r>
      <w:r w:rsidRPr="006E7507">
        <w:rPr>
          <w:lang w:val="en-US"/>
        </w:rPr>
        <w:instrText>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1F50A9">
        <w:rPr>
          <w:i/>
          <w:lang w:val="en-US"/>
        </w:rPr>
        <w:t>Röhl/Röhl</w:t>
      </w:r>
      <w:r w:rsidRPr="001F50A9">
        <w:rPr>
          <w:lang w:val="en-US"/>
        </w:rPr>
        <w:t>, Allgemeine Rechtslehre</w:t>
      </w:r>
      <w:r>
        <w:fldChar w:fldCharType="end"/>
      </w:r>
      <w:r w:rsidRPr="001F50A9">
        <w:rPr>
          <w:lang w:val="en-US"/>
        </w:rPr>
        <w:t>, S. 22.</w:t>
      </w:r>
    </w:p>
  </w:footnote>
  <w:footnote w:id="120">
    <w:p w:rsidR="005D5DB3" w:rsidRDefault="005D5DB3" w:rsidP="004248C3">
      <w:pPr>
        <w:pStyle w:val="Funote"/>
      </w:pPr>
      <w:r>
        <w:rPr>
          <w:rStyle w:val="Funotenzeichen"/>
        </w:rPr>
        <w:footnoteRef/>
      </w:r>
      <w:r>
        <w:t xml:space="preserve"> </w:t>
      </w:r>
      <w:r>
        <w:tab/>
      </w:r>
      <w:r w:rsidRPr="00A903EA">
        <w:t>Siehe Teil 4 B.IV</w:t>
      </w:r>
      <w:r>
        <w:t>.</w:t>
      </w:r>
    </w:p>
  </w:footnote>
  <w:footnote w:id="121">
    <w:p w:rsidR="005D5DB3" w:rsidRPr="00A379CD" w:rsidRDefault="005D5DB3" w:rsidP="004248C3">
      <w:pPr>
        <w:pStyle w:val="Funote"/>
      </w:pPr>
      <w:r>
        <w:rPr>
          <w:rStyle w:val="Funotenzeichen"/>
        </w:rPr>
        <w:footnoteRef/>
      </w:r>
      <w:r>
        <w:t xml:space="preserve"> </w:t>
      </w:r>
      <w:r>
        <w:tab/>
      </w:r>
      <w:r w:rsidRPr="00601B21">
        <w:rPr>
          <w:i/>
        </w:rPr>
        <w:t>Gärditz</w:t>
      </w:r>
      <w:r>
        <w:t xml:space="preserve">, </w:t>
      </w:r>
      <w:r w:rsidRPr="00A379CD">
        <w:t>Europäisches Planungsrecht: Grundstrukturen eines Referenzgebiets des europäischen Verwaltungsrechts, S. 9 m.w.N.</w:t>
      </w:r>
    </w:p>
  </w:footnote>
  <w:footnote w:id="122">
    <w:p w:rsidR="005D5DB3" w:rsidRPr="00A379CD" w:rsidRDefault="005D5DB3" w:rsidP="004248C3">
      <w:pPr>
        <w:pStyle w:val="Funote"/>
      </w:pPr>
      <w:r w:rsidRPr="00A379CD">
        <w:rPr>
          <w:rStyle w:val="Funotenzeichen"/>
        </w:rPr>
        <w:footnoteRef/>
      </w:r>
      <w:r w:rsidRPr="00A379CD">
        <w:t xml:space="preserve"> </w:t>
      </w:r>
      <w:r>
        <w:tab/>
      </w:r>
      <w:r w:rsidRPr="00F12F14">
        <w:rPr>
          <w:i/>
        </w:rPr>
        <w:t>Hoppe/Bönker/Grotefels</w:t>
      </w:r>
      <w:r>
        <w:t xml:space="preserve">, </w:t>
      </w:r>
      <w:r w:rsidRPr="00A379CD">
        <w:t xml:space="preserve">Öffentliches Baurecht. München, S. 223. </w:t>
      </w:r>
    </w:p>
  </w:footnote>
  <w:footnote w:id="123">
    <w:p w:rsidR="005D5DB3" w:rsidRDefault="005D5DB3" w:rsidP="004248C3">
      <w:pPr>
        <w:pStyle w:val="Funote"/>
      </w:pPr>
      <w:r>
        <w:rPr>
          <w:rStyle w:val="Funotenzeichen"/>
        </w:rPr>
        <w:footnoteRef/>
      </w:r>
      <w:r>
        <w:t xml:space="preserve"> </w:t>
      </w:r>
      <w:r>
        <w:tab/>
      </w:r>
      <w:r w:rsidRPr="00F12F14">
        <w:rPr>
          <w:i/>
        </w:rPr>
        <w:t>Hoppe/Bönker/Grotefels</w:t>
      </w:r>
      <w:r>
        <w:t>,</w:t>
      </w:r>
      <w:r w:rsidRPr="003A5C42">
        <w:t xml:space="preserve"> Öffentliches Baurecht.</w:t>
      </w:r>
      <w:r>
        <w:t xml:space="preserve"> München, S. 225.</w:t>
      </w:r>
    </w:p>
  </w:footnote>
  <w:footnote w:id="124">
    <w:p w:rsidR="005D5DB3" w:rsidRPr="00542ABD" w:rsidRDefault="005D5DB3" w:rsidP="004248C3">
      <w:pPr>
        <w:pStyle w:val="Funote"/>
      </w:pPr>
      <w:r>
        <w:rPr>
          <w:rStyle w:val="Funotenzeichen"/>
        </w:rPr>
        <w:footnoteRef/>
      </w:r>
      <w:r>
        <w:t xml:space="preserve"> </w:t>
      </w:r>
      <w:r>
        <w:tab/>
      </w:r>
      <w:r w:rsidRPr="00D27E15">
        <w:rPr>
          <w:i/>
        </w:rPr>
        <w:t>Wollenschläger</w:t>
      </w:r>
      <w:r>
        <w:t xml:space="preserve">, Wissensgenerierung im Verfahren, S. 124. </w:t>
      </w:r>
    </w:p>
  </w:footnote>
  <w:footnote w:id="125">
    <w:p w:rsidR="005D5DB3" w:rsidRDefault="005D5DB3" w:rsidP="004248C3">
      <w:pPr>
        <w:pStyle w:val="Funote"/>
      </w:pPr>
      <w:r>
        <w:rPr>
          <w:rStyle w:val="Funotenzeichen"/>
        </w:rPr>
        <w:footnoteRef/>
      </w:r>
      <w:r>
        <w:t xml:space="preserve"> </w:t>
      </w:r>
      <w:r>
        <w:tab/>
        <w:t>BGBl. I 1965, S. 21f.</w:t>
      </w:r>
    </w:p>
  </w:footnote>
  <w:footnote w:id="126">
    <w:p w:rsidR="005D5DB3" w:rsidRDefault="005D5DB3" w:rsidP="004248C3">
      <w:pPr>
        <w:pStyle w:val="Funote"/>
      </w:pPr>
      <w:r>
        <w:rPr>
          <w:rStyle w:val="Funotenzeichen"/>
        </w:rPr>
        <w:footnoteRef/>
      </w:r>
      <w:r>
        <w:t xml:space="preserve"> </w:t>
      </w:r>
      <w:r>
        <w:tab/>
        <w:t>Vgl. z.B. Nr. 13 der Anlage zur PlanZV</w:t>
      </w:r>
    </w:p>
  </w:footnote>
  <w:footnote w:id="127">
    <w:p w:rsidR="005D5DB3" w:rsidRDefault="005D5DB3" w:rsidP="004248C3">
      <w:pPr>
        <w:pStyle w:val="Funote"/>
      </w:pPr>
      <w:r>
        <w:rPr>
          <w:rStyle w:val="Funotenzeichen"/>
        </w:rPr>
        <w:footnoteRef/>
      </w:r>
      <w:r>
        <w:t xml:space="preserve"> </w:t>
      </w:r>
      <w:r>
        <w:tab/>
        <w:t>Bislang ist insofern von einer eher moderierenden Funktion der BNetzA auszugehen.</w:t>
      </w:r>
    </w:p>
  </w:footnote>
  <w:footnote w:id="128">
    <w:p w:rsidR="005D5DB3" w:rsidRDefault="005D5DB3" w:rsidP="004248C3">
      <w:pPr>
        <w:pStyle w:val="Funote"/>
      </w:pPr>
      <w:r>
        <w:rPr>
          <w:rStyle w:val="Funotenzeichen"/>
        </w:rPr>
        <w:footnoteRef/>
      </w:r>
      <w:r>
        <w:t xml:space="preserve"> </w:t>
      </w:r>
      <w:r>
        <w:tab/>
      </w:r>
      <w:r w:rsidRPr="00981EC3">
        <w:t>Teil 3 C.I.2.c.</w:t>
      </w:r>
    </w:p>
  </w:footnote>
  <w:footnote w:id="129">
    <w:p w:rsidR="005D5DB3" w:rsidRPr="0079574D" w:rsidRDefault="005D5DB3" w:rsidP="004248C3">
      <w:pPr>
        <w:pStyle w:val="Funote"/>
        <w:jc w:val="left"/>
      </w:pPr>
      <w:r>
        <w:rPr>
          <w:rStyle w:val="Funotenzeichen"/>
        </w:rPr>
        <w:footnoteRef/>
      </w:r>
      <w:r>
        <w:t xml:space="preserve"> </w:t>
      </w:r>
      <w:r>
        <w:tab/>
      </w:r>
      <w:r w:rsidRPr="004248C3">
        <w:t>ftp://ftp.cencenelec.eu/EN/EuropeanStandardization/HotTopics/SmartGrids/</w:t>
      </w:r>
      <w:r>
        <w:br/>
      </w:r>
      <w:r w:rsidRPr="004248C3">
        <w:t xml:space="preserve">SGCG_Methodology_Overview.pdf, </w:t>
      </w:r>
      <w:r>
        <w:t>(</w:t>
      </w:r>
      <w:r w:rsidRPr="00654A1C">
        <w:t>abgerufen am 16.11 2016</w:t>
      </w:r>
      <w:r>
        <w:t>)</w:t>
      </w:r>
      <w:r w:rsidRPr="00654A1C">
        <w:t>.</w:t>
      </w:r>
    </w:p>
  </w:footnote>
  <w:footnote w:id="130">
    <w:p w:rsidR="005D5DB3" w:rsidRPr="008074A0" w:rsidRDefault="005D5DB3" w:rsidP="004248C3">
      <w:pPr>
        <w:pStyle w:val="Funote"/>
        <w:rPr>
          <w:lang w:val="en-US"/>
        </w:rPr>
      </w:pPr>
      <w:r>
        <w:rPr>
          <w:rStyle w:val="Funotenzeichen"/>
        </w:rPr>
        <w:footnoteRef/>
      </w:r>
      <w:r>
        <w:t xml:space="preserve"> </w:t>
      </w:r>
      <w:r>
        <w:tab/>
      </w:r>
      <w:r w:rsidRPr="008074A0">
        <w:t>UseCases werden in der Informatik verwendet um Anforderungen an ein IT-System oder Teile davon als Szenario in natürlicher Sprache zu formulieren. Allerdings we</w:t>
      </w:r>
      <w:r w:rsidRPr="008074A0">
        <w:t>r</w:t>
      </w:r>
      <w:r w:rsidRPr="008074A0">
        <w:t xml:space="preserve">den hierfür Entwurfsmuster („Pattern“) verwendet, weshalb dieser Entwurf schon seminformal vorliegt. </w:t>
      </w:r>
      <w:r w:rsidRPr="00EC73B0">
        <w:rPr>
          <w:i/>
          <w:lang w:val="en-US"/>
        </w:rPr>
        <w:t>Vgl. Georgia</w:t>
      </w:r>
      <w:r w:rsidRPr="000D0CE0">
        <w:rPr>
          <w:i/>
          <w:lang w:val="en-US"/>
        </w:rPr>
        <w:t>des/Andreou</w:t>
      </w:r>
      <w:r w:rsidRPr="008074A0">
        <w:rPr>
          <w:lang w:val="en-US"/>
        </w:rPr>
        <w:t xml:space="preserve"> in:</w:t>
      </w:r>
      <w:r>
        <w:rPr>
          <w:lang w:val="en-US"/>
        </w:rPr>
        <w:t xml:space="preserve"> </w:t>
      </w:r>
      <w:r w:rsidRPr="008074A0">
        <w:rPr>
          <w:lang w:val="en-US"/>
        </w:rPr>
        <w:t>Favaro/Morisio, Safe and Secure Software Reuse, S. 267.</w:t>
      </w:r>
    </w:p>
  </w:footnote>
  <w:footnote w:id="131">
    <w:p w:rsidR="005D5DB3" w:rsidRDefault="005D5DB3" w:rsidP="004248C3">
      <w:pPr>
        <w:pStyle w:val="Funote"/>
      </w:pPr>
      <w:r>
        <w:rPr>
          <w:rStyle w:val="Funotenzeichen"/>
        </w:rPr>
        <w:footnoteRef/>
      </w:r>
      <w:r w:rsidRPr="009F6E9D">
        <w:t xml:space="preserve"> </w:t>
      </w:r>
      <w:r>
        <w:tab/>
      </w:r>
      <w:r w:rsidRPr="009F6E9D">
        <w:t xml:space="preserve">Vgl. </w:t>
      </w:r>
      <w:r w:rsidRPr="008074A0">
        <w:rPr>
          <w:i/>
        </w:rPr>
        <w:t>Stein, Johannes</w:t>
      </w:r>
      <w:r w:rsidRPr="009F6E9D">
        <w:t>, “Smart Grid – Stand der europäischen und internationalen Normung”</w:t>
      </w:r>
      <w:r>
        <w:t xml:space="preserve">, Vortrag vom 30.09.2014 in Stuttgart, online unter </w:t>
      </w:r>
    </w:p>
    <w:p w:rsidR="005D5DB3" w:rsidRPr="009F6E9D" w:rsidRDefault="005D5DB3" w:rsidP="004248C3">
      <w:pPr>
        <w:pStyle w:val="Funote"/>
      </w:pPr>
      <w:r>
        <w:tab/>
        <w:t>http://www.smartgrids-</w:t>
      </w:r>
      <w:r w:rsidRPr="00075777">
        <w:t>bw.net/fileadmin/documents/Vernetzte_Intelligenz__Johannes_Stein.pdf</w:t>
      </w:r>
      <w:r>
        <w:t xml:space="preserve"> </w:t>
      </w:r>
      <w:r>
        <w:br/>
        <w:t>(abgerufen am 26.11.2016).</w:t>
      </w:r>
    </w:p>
  </w:footnote>
  <w:footnote w:id="132">
    <w:p w:rsidR="005D5DB3" w:rsidRDefault="005D5DB3" w:rsidP="004248C3">
      <w:pPr>
        <w:pStyle w:val="Funote"/>
      </w:pPr>
      <w:r>
        <w:rPr>
          <w:rStyle w:val="Funotenzeichen"/>
        </w:rPr>
        <w:footnoteRef/>
      </w:r>
      <w:r>
        <w:t xml:space="preserve"> </w:t>
      </w:r>
      <w:r>
        <w:tab/>
        <w:t xml:space="preserve">Siehe das Beispiel in </w:t>
      </w:r>
      <w:r>
        <w:fldChar w:fldCharType="begin"/>
      </w:r>
      <w:r>
        <w:instrText xml:space="preserve"> REF _Ref467506911 \w \h </w:instrText>
      </w:r>
      <w:r>
        <w:fldChar w:fldCharType="separate"/>
      </w:r>
      <w:r w:rsidR="00391ED7">
        <w:t>II</w:t>
      </w:r>
      <w:r>
        <w:fldChar w:fldCharType="end"/>
      </w:r>
      <w:r>
        <w:t xml:space="preserve"> .</w:t>
      </w:r>
    </w:p>
  </w:footnote>
  <w:footnote w:id="133">
    <w:p w:rsidR="005D5DB3" w:rsidRDefault="005D5DB3" w:rsidP="004248C3">
      <w:pPr>
        <w:pStyle w:val="Funote"/>
      </w:pPr>
      <w:r>
        <w:rPr>
          <w:rStyle w:val="Funotenzeichen"/>
        </w:rPr>
        <w:footnoteRef/>
      </w:r>
      <w:r>
        <w:t xml:space="preserve"> </w:t>
      </w:r>
      <w:r>
        <w:tab/>
        <w:t xml:space="preserve">BNetzA, Anlage zum Beschluss BK6-06-009 vom 11.07.2006 (GPKE), S. 21.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0030C5" w:rsidRDefault="005D5DB3" w:rsidP="000030C5">
    <w:pPr>
      <w:pStyle w:val="Kopfzeile"/>
    </w:pPr>
    <w:fldSimple w:instr=" STYLEREF  &quot;Überschrift 1 ohne Nummer&quot;  \* MERGEFORMAT ">
      <w:r w:rsidR="00391ED7">
        <w:rPr>
          <w:noProof/>
        </w:rPr>
        <w:t>Abkürzungsverzeichnis</w:t>
      </w:r>
    </w:fldSimple>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0030C5">
    <w:pPr>
      <w:pStyle w:val="Kopfzeilerechts"/>
    </w:pPr>
    <w:fldSimple w:instr=" STYLEREF  &quot;Überschrift 1 ohne Nummer&quot;  \* MERGEFORMAT ">
      <w:r w:rsidR="00391ED7">
        <w:t>Abkürzungsverzeichnis</w:t>
      </w:r>
    </w:fldSimple>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670980" w:rsidRDefault="005D5DB3" w:rsidP="00670980">
    <w:pPr>
      <w:pStyle w:val="Kopfzeile"/>
    </w:pPr>
    <w:fldSimple w:instr=" STYLEREF  &quot;Überschrift 1 \&quot;Teil\&quot;&quot;  \* MERGEFORMAT ">
      <w:r w:rsidR="00391ED7">
        <w:rPr>
          <w:noProof/>
        </w:rPr>
        <w:t>Teil 3: Instrumentelle Ableitungen für ein lernfähiges Verfahren</w:t>
      </w:r>
    </w:fldSimple>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670980" w:rsidRDefault="005D5DB3" w:rsidP="007F314D">
    <w:pPr>
      <w:pStyle w:val="Kopfzeilerechts"/>
    </w:pPr>
    <w:fldSimple w:instr=" STYLEREF  &quot;Überschrift 1;_A;B;C&quot; \n  \* MERGEFORMAT ">
      <w:r w:rsidR="00391ED7">
        <w:t>B</w:t>
      </w:r>
    </w:fldSimple>
    <w:r>
      <w:t xml:space="preserve">  </w:t>
    </w:r>
    <w:fldSimple w:instr=" STYLEREF  &quot;Überschrift 1;_A;B;C&quot;  \* MERGEFORMAT ">
      <w:r w:rsidR="00391ED7">
        <w:t>Lernfähigkeit und Stabilisierung von Wissen in nicht förmlichen Verfahren</w:t>
      </w:r>
    </w:fldSimple>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E87" w:rsidRPr="00196E87" w:rsidRDefault="00196E87" w:rsidP="00196E87">
    <w:pPr>
      <w:pStyle w:val="Kopfzeile"/>
    </w:pPr>
    <w:fldSimple w:instr=" STYLEREF  &quot;Überschrift 1 ohne Nummer&quot;  \* MERGEFORMAT ">
      <w:r w:rsidR="00391ED7">
        <w:rPr>
          <w:noProof/>
        </w:rPr>
        <w:t>Literaturverzeichnis</w:t>
      </w:r>
    </w:fldSimple>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E87" w:rsidRPr="00670980" w:rsidRDefault="00196E87" w:rsidP="00196E87">
    <w:pPr>
      <w:pStyle w:val="Kopfzeilerechts"/>
    </w:pPr>
    <w:fldSimple w:instr=" STYLEREF  &quot;Überschrift 1 ohne Nummer&quot;  \* MERGEFORMAT ">
      <w:r w:rsidR="00391ED7">
        <w:t>Literaturverzeichnis</w:t>
      </w:r>
    </w:fldSimple>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EB6E54"/>
    <w:multiLevelType w:val="hybridMultilevel"/>
    <w:tmpl w:val="A12816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48405FA"/>
    <w:multiLevelType w:val="hybridMultilevel"/>
    <w:tmpl w:val="0F30E1DE"/>
    <w:lvl w:ilvl="0" w:tplc="EBA485D2">
      <w:start w:val="1"/>
      <w:numFmt w:val="decimal"/>
      <w:pStyle w:val="berschrift3"/>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4E36211"/>
    <w:multiLevelType w:val="hybridMultilevel"/>
    <w:tmpl w:val="D9A66564"/>
    <w:lvl w:ilvl="0" w:tplc="F9A4A506">
      <w:start w:val="1"/>
      <w:numFmt w:val="lowerRoman"/>
      <w:pStyle w:val="berschrift5"/>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B957543"/>
    <w:multiLevelType w:val="multilevel"/>
    <w:tmpl w:val="F56857B8"/>
    <w:name w:val="b_lg_aa_"/>
    <w:lvl w:ilvl="0">
      <w:start w:val="1"/>
      <w:numFmt w:val="lowerLetter"/>
      <w:lvlText w:val="%1)"/>
      <w:lvlJc w:val="left"/>
      <w:pPr>
        <w:tabs>
          <w:tab w:val="num" w:pos="397"/>
        </w:tabs>
        <w:ind w:left="397" w:hanging="397"/>
      </w:pPr>
    </w:lvl>
    <w:lvl w:ilvl="1">
      <w:start w:val="1"/>
      <w:numFmt w:val="lowerLetter"/>
      <w:lvlText w:val="%2%2)"/>
      <w:lvlJc w:val="left"/>
      <w:pPr>
        <w:tabs>
          <w:tab w:val="num" w:pos="794"/>
        </w:tabs>
        <w:ind w:left="794" w:hanging="397"/>
      </w:pPr>
    </w:lvl>
    <w:lvl w:ilvl="2">
      <w:start w:val="1"/>
      <w:numFmt w:val="lowerLetter"/>
      <w:lvlText w:val="%3%3)"/>
      <w:lvlJc w:val="left"/>
      <w:pPr>
        <w:tabs>
          <w:tab w:val="num" w:pos="1191"/>
        </w:tabs>
        <w:ind w:left="1191" w:hanging="397"/>
      </w:pPr>
    </w:lvl>
    <w:lvl w:ilvl="3">
      <w:start w:val="1"/>
      <w:numFmt w:val="lowerLetter"/>
      <w:lvlText w:val="%4%4)"/>
      <w:lvlJc w:val="left"/>
      <w:pPr>
        <w:tabs>
          <w:tab w:val="num" w:pos="1587"/>
        </w:tabs>
        <w:ind w:left="1587" w:hanging="396"/>
      </w:pPr>
    </w:lvl>
    <w:lvl w:ilvl="4">
      <w:start w:val="1"/>
      <w:numFmt w:val="lowerLetter"/>
      <w:lvlText w:val="%5%5)"/>
      <w:lvlJc w:val="left"/>
      <w:pPr>
        <w:tabs>
          <w:tab w:val="num" w:pos="1984"/>
        </w:tabs>
        <w:ind w:left="1984" w:hanging="397"/>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3D9C5A60"/>
    <w:multiLevelType w:val="hybridMultilevel"/>
    <w:tmpl w:val="C37604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59C3A7A"/>
    <w:multiLevelType w:val="hybridMultilevel"/>
    <w:tmpl w:val="59AC70FC"/>
    <w:lvl w:ilvl="0" w:tplc="181E9514">
      <w:start w:val="1"/>
      <w:numFmt w:val="upperLetter"/>
      <w:pStyle w:val="berschrift1"/>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4F1A4E85"/>
    <w:multiLevelType w:val="hybridMultilevel"/>
    <w:tmpl w:val="4A0C2504"/>
    <w:lvl w:ilvl="0" w:tplc="4C0CD48A">
      <w:start w:val="1"/>
      <w:numFmt w:val="decimal"/>
      <w:pStyle w:val="Aufzhlung"/>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50F21DEC"/>
    <w:multiLevelType w:val="multilevel"/>
    <w:tmpl w:val="0407001D"/>
    <w:styleLink w:val="ListentypDiss"/>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54C55C75"/>
    <w:multiLevelType w:val="multilevel"/>
    <w:tmpl w:val="C7ACBBA0"/>
    <w:lvl w:ilvl="0">
      <w:start w:val="1"/>
      <w:numFmt w:val="decimal"/>
      <w:lvlText w:val="Teil %1 "/>
      <w:lvlJc w:val="left"/>
      <w:pPr>
        <w:ind w:left="2062" w:hanging="360"/>
      </w:pPr>
      <w:rPr>
        <w:rFonts w:hint="default"/>
      </w:rPr>
    </w:lvl>
    <w:lvl w:ilvl="1">
      <w:start w:val="1"/>
      <w:numFmt w:val="upperLetter"/>
      <w:lvlText w:val="%2."/>
      <w:lvlJc w:val="left"/>
      <w:pPr>
        <w:ind w:left="1625" w:hanging="491"/>
      </w:pPr>
      <w:rPr>
        <w:rFonts w:hint="default"/>
      </w:rPr>
    </w:lvl>
    <w:lvl w:ilvl="2">
      <w:start w:val="1"/>
      <w:numFmt w:val="upperRoman"/>
      <w:lvlText w:val="%3."/>
      <w:lvlJc w:val="left"/>
      <w:pPr>
        <w:ind w:left="1352" w:hanging="360"/>
      </w:pPr>
      <w:rPr>
        <w:rFonts w:hint="default"/>
        <w:b w:val="0"/>
        <w:color w:val="000000" w:themeColor="text1"/>
      </w:rPr>
    </w:lvl>
    <w:lvl w:ilvl="3">
      <w:start w:val="1"/>
      <w:numFmt w:val="decimal"/>
      <w:lvlText w:val="%4."/>
      <w:lvlJc w:val="left"/>
      <w:pPr>
        <w:ind w:left="2061" w:hanging="360"/>
      </w:pPr>
      <w:rPr>
        <w:rFonts w:hint="default"/>
        <w:color w:val="auto"/>
      </w:rPr>
    </w:lvl>
    <w:lvl w:ilvl="4">
      <w:start w:val="1"/>
      <w:numFmt w:val="lowerLetter"/>
      <w:lvlText w:val="%5."/>
      <w:lvlJc w:val="left"/>
      <w:pPr>
        <w:ind w:left="2367" w:hanging="360"/>
      </w:pPr>
      <w:rPr>
        <w:rFonts w:asciiTheme="majorHAnsi" w:hAnsiTheme="majorHAnsi" w:hint="default"/>
        <w:sz w:val="28"/>
        <w:szCs w:val="28"/>
      </w:rPr>
    </w:lvl>
    <w:lvl w:ilvl="5">
      <w:start w:val="1"/>
      <w:numFmt w:val="lowerRoman"/>
      <w:lvlText w:val="%6. "/>
      <w:lvlJc w:val="left"/>
      <w:pPr>
        <w:ind w:left="4472"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9">
    <w:nsid w:val="5D0960EF"/>
    <w:multiLevelType w:val="hybridMultilevel"/>
    <w:tmpl w:val="F22895E8"/>
    <w:lvl w:ilvl="0" w:tplc="7CC4D1A2">
      <w:start w:val="1"/>
      <w:numFmt w:val="decimal"/>
      <w:pStyle w:val="berschrift6"/>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62B86A08"/>
    <w:multiLevelType w:val="hybridMultilevel"/>
    <w:tmpl w:val="AF90AF46"/>
    <w:lvl w:ilvl="0" w:tplc="C55E1924">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6D9B1BB6"/>
    <w:multiLevelType w:val="hybridMultilevel"/>
    <w:tmpl w:val="A7EA5F5A"/>
    <w:lvl w:ilvl="0" w:tplc="555893B8">
      <w:start w:val="1"/>
      <w:numFmt w:val="lowerLetter"/>
      <w:pStyle w:val="berschrift4"/>
      <w:lvlText w:val="%1."/>
      <w:lvlJc w:val="left"/>
      <w:pPr>
        <w:ind w:left="360" w:hanging="360"/>
      </w:pPr>
      <w:rPr>
        <w:sz w:val="28"/>
        <w:szCs w:val="2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706C2FE8"/>
    <w:multiLevelType w:val="multilevel"/>
    <w:tmpl w:val="AF8C44C4"/>
    <w:lvl w:ilvl="0">
      <w:start w:val="1"/>
      <w:numFmt w:val="upperRoman"/>
      <w:lvlText w:val="Teil %1"/>
      <w:lvlJc w:val="left"/>
      <w:pPr>
        <w:ind w:left="717" w:hanging="360"/>
      </w:pPr>
      <w:rPr>
        <w:rFonts w:hint="default"/>
      </w:rPr>
    </w:lvl>
    <w:lvl w:ilvl="1">
      <w:start w:val="1"/>
      <w:numFmt w:val="decimal"/>
      <w:lvlText w:val="%2"/>
      <w:lvlJc w:val="left"/>
      <w:pPr>
        <w:ind w:left="1071" w:hanging="357"/>
      </w:pPr>
      <w:rPr>
        <w:rFonts w:hint="default"/>
      </w:rPr>
    </w:lvl>
    <w:lvl w:ilvl="2">
      <w:start w:val="1"/>
      <w:numFmt w:val="decimal"/>
      <w:lvlText w:val="%2.%3"/>
      <w:lvlJc w:val="left"/>
      <w:pPr>
        <w:ind w:left="1428" w:hanging="357"/>
      </w:pPr>
      <w:rPr>
        <w:rFonts w:hint="default"/>
      </w:rPr>
    </w:lvl>
    <w:lvl w:ilvl="3">
      <w:start w:val="1"/>
      <w:numFmt w:val="decimal"/>
      <w:lvlText w:val="%2.%3.%4"/>
      <w:lvlJc w:val="left"/>
      <w:pPr>
        <w:ind w:left="1785" w:hanging="357"/>
      </w:pPr>
      <w:rPr>
        <w:rFonts w:hint="default"/>
      </w:rPr>
    </w:lvl>
    <w:lvl w:ilvl="4">
      <w:start w:val="1"/>
      <w:numFmt w:val="decimal"/>
      <w:lvlText w:val="%2.%3.%4.%5"/>
      <w:lvlJc w:val="left"/>
      <w:pPr>
        <w:ind w:left="1565" w:hanging="357"/>
      </w:pPr>
      <w:rPr>
        <w:rFonts w:hint="default"/>
      </w:rPr>
    </w:lvl>
    <w:lvl w:ilvl="5">
      <w:start w:val="1"/>
      <w:numFmt w:val="decimal"/>
      <w:lvlText w:val="%2.%3.%4.%5.%6"/>
      <w:lvlJc w:val="left"/>
      <w:pPr>
        <w:ind w:left="2499" w:hanging="357"/>
      </w:pPr>
      <w:rPr>
        <w:rFonts w:hint="default"/>
      </w:rPr>
    </w:lvl>
    <w:lvl w:ilvl="6">
      <w:start w:val="1"/>
      <w:numFmt w:val="decimal"/>
      <w:lvlText w:val="%2.%3.%4.%5.%6.%7"/>
      <w:lvlJc w:val="left"/>
      <w:pPr>
        <w:ind w:left="2856" w:hanging="357"/>
      </w:pPr>
      <w:rPr>
        <w:rFonts w:hint="default"/>
      </w:rPr>
    </w:lvl>
    <w:lvl w:ilvl="7">
      <w:start w:val="1"/>
      <w:numFmt w:val="decimal"/>
      <w:lvlText w:val="%2.%3.%4.%5.%6.%7.%8"/>
      <w:lvlJc w:val="left"/>
      <w:pPr>
        <w:ind w:left="3213" w:hanging="357"/>
      </w:pPr>
      <w:rPr>
        <w:rFonts w:hint="default"/>
      </w:rPr>
    </w:lvl>
    <w:lvl w:ilvl="8">
      <w:start w:val="1"/>
      <w:numFmt w:val="decimal"/>
      <w:lvlText w:val="%2.%3.%4.%5.%6.%7.%8.%9"/>
      <w:lvlJc w:val="left"/>
      <w:pPr>
        <w:ind w:left="3570" w:hanging="357"/>
      </w:pPr>
      <w:rPr>
        <w:rFonts w:hint="default"/>
      </w:rPr>
    </w:lvl>
  </w:abstractNum>
  <w:abstractNum w:abstractNumId="13">
    <w:nsid w:val="7D533EB8"/>
    <w:multiLevelType w:val="hybridMultilevel"/>
    <w:tmpl w:val="11C88E9A"/>
    <w:lvl w:ilvl="0" w:tplc="492CB0B6">
      <w:start w:val="1"/>
      <w:numFmt w:val="upperRoman"/>
      <w:pStyle w:val="berschrift2"/>
      <w:lvlText w:val="%1."/>
      <w:lvlJc w:val="right"/>
      <w:pPr>
        <w:ind w:left="720" w:hanging="360"/>
      </w:pPr>
      <w:rPr>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7"/>
  </w:num>
  <w:num w:numId="3">
    <w:abstractNumId w:val="8"/>
  </w:num>
  <w:num w:numId="4">
    <w:abstractNumId w:val="3"/>
  </w:num>
  <w:num w:numId="5">
    <w:abstractNumId w:val="10"/>
  </w:num>
  <w:num w:numId="6">
    <w:abstractNumId w:val="0"/>
  </w:num>
  <w:num w:numId="7">
    <w:abstractNumId w:val="4"/>
  </w:num>
  <w:num w:numId="8">
    <w:abstractNumId w:val="6"/>
  </w:num>
  <w:num w:numId="9">
    <w:abstractNumId w:val="5"/>
  </w:num>
  <w:num w:numId="10">
    <w:abstractNumId w:val="13"/>
  </w:num>
  <w:num w:numId="11">
    <w:abstractNumId w:val="13"/>
    <w:lvlOverride w:ilvl="0">
      <w:startOverride w:val="1"/>
    </w:lvlOverride>
  </w:num>
  <w:num w:numId="12">
    <w:abstractNumId w:val="13"/>
    <w:lvlOverride w:ilvl="0">
      <w:startOverride w:val="1"/>
    </w:lvlOverride>
  </w:num>
  <w:num w:numId="13">
    <w:abstractNumId w:val="1"/>
  </w:num>
  <w:num w:numId="14">
    <w:abstractNumId w:val="11"/>
  </w:num>
  <w:num w:numId="15">
    <w:abstractNumId w:val="1"/>
    <w:lvlOverride w:ilvl="0">
      <w:startOverride w:val="1"/>
    </w:lvlOverride>
  </w:num>
  <w:num w:numId="16">
    <w:abstractNumId w:val="11"/>
    <w:lvlOverride w:ilvl="0">
      <w:startOverride w:val="1"/>
    </w:lvlOverride>
  </w:num>
  <w:num w:numId="17">
    <w:abstractNumId w:val="11"/>
    <w:lvlOverride w:ilvl="0">
      <w:startOverride w:val="1"/>
    </w:lvlOverride>
  </w:num>
  <w:num w:numId="18">
    <w:abstractNumId w:val="11"/>
    <w:lvlOverride w:ilvl="0">
      <w:startOverride w:val="1"/>
    </w:lvlOverride>
  </w:num>
  <w:num w:numId="19">
    <w:abstractNumId w:val="2"/>
  </w:num>
  <w:num w:numId="20">
    <w:abstractNumId w:val="1"/>
    <w:lvlOverride w:ilvl="0">
      <w:startOverride w:val="1"/>
    </w:lvlOverride>
  </w:num>
  <w:num w:numId="21">
    <w:abstractNumId w:val="13"/>
    <w:lvlOverride w:ilvl="0">
      <w:startOverride w:val="1"/>
    </w:lvlOverride>
  </w:num>
  <w:num w:numId="22">
    <w:abstractNumId w:val="1"/>
    <w:lvlOverride w:ilvl="0">
      <w:startOverride w:val="1"/>
    </w:lvlOverride>
  </w:num>
  <w:num w:numId="23">
    <w:abstractNumId w:val="11"/>
    <w:lvlOverride w:ilvl="0">
      <w:startOverride w:val="1"/>
    </w:lvlOverride>
  </w:num>
  <w:num w:numId="24">
    <w:abstractNumId w:val="2"/>
    <w:lvlOverride w:ilvl="0">
      <w:startOverride w:val="1"/>
    </w:lvlOverride>
  </w:num>
  <w:num w:numId="25">
    <w:abstractNumId w:val="2"/>
    <w:lvlOverride w:ilvl="0">
      <w:startOverride w:val="1"/>
    </w:lvlOverride>
  </w:num>
  <w:num w:numId="26">
    <w:abstractNumId w:val="2"/>
    <w:lvlOverride w:ilvl="0">
      <w:startOverride w:val="1"/>
    </w:lvlOverride>
  </w:num>
  <w:num w:numId="27">
    <w:abstractNumId w:val="13"/>
    <w:lvlOverride w:ilvl="0">
      <w:startOverride w:val="1"/>
    </w:lvlOverride>
  </w:num>
  <w:num w:numId="28">
    <w:abstractNumId w:val="1"/>
    <w:lvlOverride w:ilvl="0">
      <w:startOverride w:val="1"/>
    </w:lvlOverride>
  </w:num>
  <w:num w:numId="29">
    <w:abstractNumId w:val="11"/>
    <w:lvlOverride w:ilvl="0">
      <w:startOverride w:val="1"/>
    </w:lvlOverride>
  </w:num>
  <w:num w:numId="30">
    <w:abstractNumId w:val="2"/>
    <w:lvlOverride w:ilvl="0">
      <w:startOverride w:val="1"/>
    </w:lvlOverride>
  </w:num>
  <w:num w:numId="31">
    <w:abstractNumId w:val="11"/>
    <w:lvlOverride w:ilvl="0">
      <w:startOverride w:val="1"/>
    </w:lvlOverride>
  </w:num>
  <w:num w:numId="32">
    <w:abstractNumId w:val="2"/>
    <w:lvlOverride w:ilvl="0">
      <w:startOverride w:val="1"/>
    </w:lvlOverride>
  </w:num>
  <w:num w:numId="33">
    <w:abstractNumId w:val="9"/>
  </w:num>
  <w:num w:numId="34">
    <w:abstractNumId w:val="2"/>
    <w:lvlOverride w:ilvl="0">
      <w:startOverride w:val="1"/>
    </w:lvlOverride>
  </w:num>
  <w:num w:numId="35">
    <w:abstractNumId w:val="9"/>
    <w:lvlOverride w:ilvl="0">
      <w:startOverride w:val="1"/>
    </w:lvlOverride>
  </w:num>
  <w:num w:numId="36">
    <w:abstractNumId w:val="2"/>
    <w:lvlOverride w:ilvl="0">
      <w:startOverride w:val="1"/>
    </w:lvlOverride>
  </w:num>
  <w:num w:numId="37">
    <w:abstractNumId w:val="9"/>
    <w:lvlOverride w:ilvl="0">
      <w:startOverride w:val="1"/>
    </w:lvlOverride>
  </w:num>
  <w:num w:numId="38">
    <w:abstractNumId w:val="9"/>
    <w:lvlOverride w:ilvl="0">
      <w:startOverride w:val="1"/>
    </w:lvlOverride>
  </w:num>
  <w:num w:numId="39">
    <w:abstractNumId w:val="1"/>
    <w:lvlOverride w:ilvl="0">
      <w:startOverride w:val="1"/>
    </w:lvlOverride>
  </w:num>
  <w:num w:numId="40">
    <w:abstractNumId w:val="11"/>
    <w:lvlOverride w:ilvl="0">
      <w:startOverride w:val="1"/>
    </w:lvlOverride>
  </w:num>
  <w:num w:numId="41">
    <w:abstractNumId w:val="2"/>
    <w:lvlOverride w:ilvl="0">
      <w:startOverride w:val="1"/>
    </w:lvlOverride>
  </w:num>
  <w:num w:numId="42">
    <w:abstractNumId w:val="11"/>
    <w:lvlOverride w:ilvl="0">
      <w:startOverride w:val="1"/>
    </w:lvlOverride>
  </w:num>
  <w:num w:numId="43">
    <w:abstractNumId w:val="11"/>
    <w:lvlOverride w:ilvl="0">
      <w:startOverride w:val="1"/>
    </w:lvlOverride>
  </w:num>
  <w:num w:numId="44">
    <w:abstractNumId w:val="2"/>
    <w:lvlOverride w:ilvl="0">
      <w:startOverride w:val="1"/>
    </w:lvlOverride>
  </w:num>
  <w:num w:numId="45">
    <w:abstractNumId w:val="11"/>
    <w:lvlOverride w:ilvl="0">
      <w:startOverride w:val="1"/>
    </w:lvlOverride>
  </w:num>
  <w:num w:numId="46">
    <w:abstractNumId w:val="2"/>
    <w:lvlOverride w:ilvl="0">
      <w:startOverride w:val="1"/>
    </w:lvlOverride>
  </w:num>
  <w:num w:numId="47">
    <w:abstractNumId w:val="11"/>
    <w:lvlOverride w:ilvl="0">
      <w:startOverride w:val="1"/>
    </w:lvlOverride>
  </w:num>
  <w:num w:numId="48">
    <w:abstractNumId w:val="13"/>
    <w:lvlOverride w:ilvl="0">
      <w:startOverride w:val="1"/>
    </w:lvlOverride>
  </w:num>
  <w:num w:numId="49">
    <w:abstractNumId w:val="1"/>
    <w:lvlOverride w:ilvl="0">
      <w:startOverride w:val="1"/>
    </w:lvlOverride>
  </w:num>
  <w:num w:numId="50">
    <w:abstractNumId w:val="13"/>
    <w:lvlOverride w:ilvl="0">
      <w:startOverride w:val="1"/>
    </w:lvlOverride>
  </w:num>
  <w:num w:numId="51">
    <w:abstractNumId w:val="1"/>
    <w:lvlOverride w:ilvl="0">
      <w:startOverride w:val="1"/>
    </w:lvlOverride>
  </w:num>
  <w:num w:numId="52">
    <w:abstractNumId w:val="1"/>
    <w:lvlOverride w:ilvl="0">
      <w:startOverride w:val="1"/>
    </w:lvlOverride>
  </w:num>
  <w:num w:numId="53">
    <w:abstractNumId w:val="13"/>
    <w:lvlOverride w:ilvl="0">
      <w:startOverride w:val="1"/>
    </w:lvlOverride>
  </w:num>
  <w:num w:numId="54">
    <w:abstractNumId w:val="1"/>
    <w:lvlOverride w:ilvl="0">
      <w:startOverride w:val="1"/>
    </w:lvlOverride>
  </w:num>
  <w:num w:numId="55">
    <w:abstractNumId w:val="11"/>
    <w:lvlOverride w:ilvl="0">
      <w:startOverride w:val="1"/>
    </w:lvlOverride>
  </w:num>
  <w:num w:numId="56">
    <w:abstractNumId w:val="1"/>
    <w:lvlOverride w:ilvl="0">
      <w:startOverride w:val="1"/>
    </w:lvlOverride>
  </w:num>
  <w:num w:numId="57">
    <w:abstractNumId w:val="1"/>
    <w:lvlOverride w:ilvl="0">
      <w:startOverride w:val="1"/>
    </w:lvlOverride>
  </w:num>
  <w:num w:numId="58">
    <w:abstractNumId w:val="11"/>
    <w:lvlOverride w:ilvl="0">
      <w:startOverride w:val="1"/>
    </w:lvlOverride>
  </w:num>
  <w:num w:numId="59">
    <w:abstractNumId w:val="1"/>
    <w:lvlOverride w:ilvl="0">
      <w:startOverride w:val="1"/>
    </w:lvlOverride>
  </w:num>
  <w:num w:numId="60">
    <w:abstractNumId w:val="11"/>
    <w:lvlOverride w:ilvl="0">
      <w:startOverride w:val="1"/>
    </w:lvlOverride>
  </w:num>
  <w:num w:numId="61">
    <w:abstractNumId w:val="2"/>
    <w:lvlOverride w:ilvl="0">
      <w:startOverride w:val="1"/>
    </w:lvlOverride>
  </w:num>
  <w:num w:numId="62">
    <w:abstractNumId w:val="13"/>
    <w:lvlOverride w:ilvl="0">
      <w:startOverride w:val="1"/>
    </w:lvlOverride>
  </w:num>
  <w:num w:numId="63">
    <w:abstractNumId w:val="1"/>
    <w:lvlOverride w:ilvl="0">
      <w:startOverride w:val="1"/>
    </w:lvlOverride>
  </w:num>
  <w:num w:numId="64">
    <w:abstractNumId w:val="1"/>
    <w:lvlOverride w:ilvl="0">
      <w:startOverride w:val="1"/>
    </w:lvlOverride>
  </w:num>
  <w:num w:numId="65">
    <w:abstractNumId w:val="13"/>
    <w:lvlOverride w:ilvl="0">
      <w:startOverride w:val="1"/>
    </w:lvlOverride>
  </w:num>
  <w:num w:numId="66">
    <w:abstractNumId w:val="1"/>
    <w:lvlOverride w:ilvl="0">
      <w:startOverride w:val="1"/>
    </w:lvlOverride>
  </w:num>
  <w:num w:numId="67">
    <w:abstractNumId w:val="1"/>
    <w:lvlOverride w:ilvl="0">
      <w:startOverride w:val="1"/>
    </w:lvlOverride>
  </w:num>
  <w:num w:numId="68">
    <w:abstractNumId w:val="13"/>
    <w:lvlOverride w:ilvl="0">
      <w:startOverride w:val="1"/>
    </w:lvlOverride>
  </w:num>
  <w:num w:numId="69">
    <w:abstractNumId w:val="13"/>
    <w:lvlOverride w:ilvl="0">
      <w:startOverride w:val="1"/>
    </w:lvlOverride>
  </w:num>
  <w:num w:numId="70">
    <w:abstractNumId w:val="13"/>
    <w:lvlOverride w:ilvl="0">
      <w:startOverride w:val="1"/>
    </w:lvlOverride>
  </w:num>
  <w:num w:numId="71">
    <w:abstractNumId w:val="1"/>
    <w:lvlOverride w:ilvl="0">
      <w:startOverride w:val="1"/>
    </w:lvlOverride>
  </w:num>
  <w:num w:numId="72">
    <w:abstractNumId w:val="11"/>
    <w:lvlOverride w:ilvl="0">
      <w:startOverride w:val="1"/>
    </w:lvlOverride>
  </w:num>
  <w:num w:numId="73">
    <w:abstractNumId w:val="2"/>
    <w:lvlOverride w:ilvl="0">
      <w:startOverride w:val="1"/>
    </w:lvlOverride>
  </w:num>
  <w:num w:numId="74">
    <w:abstractNumId w:val="5"/>
    <w:lvlOverride w:ilvl="0">
      <w:startOverride w:val="1"/>
    </w:lvlOverride>
  </w:num>
  <w:num w:numId="75">
    <w:abstractNumId w:val="5"/>
    <w:lvlOverride w:ilvl="0">
      <w:startOverride w:val="1"/>
    </w:lvlOverride>
  </w:num>
  <w:num w:numId="76">
    <w:abstractNumId w:val="5"/>
    <w:lvlOverride w:ilvl="0">
      <w:startOverride w:val="1"/>
    </w:lvlOverride>
  </w:num>
  <w:num w:numId="77">
    <w:abstractNumId w:val="5"/>
    <w:lvlOverride w:ilvl="0">
      <w:startOverride w:val="1"/>
    </w:lvlOverride>
  </w:num>
  <w:num w:numId="78">
    <w:abstractNumId w:val="5"/>
    <w:lvlOverride w:ilvl="0">
      <w:startOverride w:val="1"/>
    </w:lvlOverride>
  </w:num>
  <w:num w:numId="79">
    <w:abstractNumId w:val="5"/>
    <w:lvlOverride w:ilvl="0">
      <w:startOverride w:val="1"/>
    </w:lvlOverride>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mirrorMargins/>
  <w:proofState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consecutiveHyphenLimit w:val="3"/>
  <w:hyphenationZone w:val="567"/>
  <w:evenAndOddHeaders/>
  <w:characterSpacingControl w:val="doNotCompress"/>
  <w:hdrShapeDefaults>
    <o:shapedefaults v:ext="edit" spidmax="10241"/>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1208"/>
    <w:rsid w:val="000002AE"/>
    <w:rsid w:val="00000A21"/>
    <w:rsid w:val="00000ABB"/>
    <w:rsid w:val="00000AD5"/>
    <w:rsid w:val="00001057"/>
    <w:rsid w:val="000010D6"/>
    <w:rsid w:val="00001476"/>
    <w:rsid w:val="00001505"/>
    <w:rsid w:val="00001996"/>
    <w:rsid w:val="00001C30"/>
    <w:rsid w:val="000020CF"/>
    <w:rsid w:val="00002123"/>
    <w:rsid w:val="0000249A"/>
    <w:rsid w:val="0000271A"/>
    <w:rsid w:val="00002947"/>
    <w:rsid w:val="00002ACB"/>
    <w:rsid w:val="00002E44"/>
    <w:rsid w:val="000030C5"/>
    <w:rsid w:val="0000319D"/>
    <w:rsid w:val="000031A4"/>
    <w:rsid w:val="0000343A"/>
    <w:rsid w:val="000037BD"/>
    <w:rsid w:val="00003ED1"/>
    <w:rsid w:val="00003F9A"/>
    <w:rsid w:val="0000410C"/>
    <w:rsid w:val="000042A6"/>
    <w:rsid w:val="000042C0"/>
    <w:rsid w:val="00004669"/>
    <w:rsid w:val="00004773"/>
    <w:rsid w:val="00004B69"/>
    <w:rsid w:val="000050E2"/>
    <w:rsid w:val="000052D6"/>
    <w:rsid w:val="000056C6"/>
    <w:rsid w:val="0000593A"/>
    <w:rsid w:val="00005C8C"/>
    <w:rsid w:val="00005DE2"/>
    <w:rsid w:val="00005E4D"/>
    <w:rsid w:val="00006373"/>
    <w:rsid w:val="00006730"/>
    <w:rsid w:val="00006DAC"/>
    <w:rsid w:val="00006E86"/>
    <w:rsid w:val="00007041"/>
    <w:rsid w:val="000072CB"/>
    <w:rsid w:val="000073BA"/>
    <w:rsid w:val="000076BD"/>
    <w:rsid w:val="00007A4C"/>
    <w:rsid w:val="00007C18"/>
    <w:rsid w:val="00007C47"/>
    <w:rsid w:val="00007D58"/>
    <w:rsid w:val="00007EBA"/>
    <w:rsid w:val="00007FAF"/>
    <w:rsid w:val="00010246"/>
    <w:rsid w:val="00010996"/>
    <w:rsid w:val="00010B7C"/>
    <w:rsid w:val="00010BEB"/>
    <w:rsid w:val="00010BF4"/>
    <w:rsid w:val="00010CB4"/>
    <w:rsid w:val="00010EF6"/>
    <w:rsid w:val="0001103E"/>
    <w:rsid w:val="000113CF"/>
    <w:rsid w:val="0001152D"/>
    <w:rsid w:val="00011538"/>
    <w:rsid w:val="000115B7"/>
    <w:rsid w:val="0001169A"/>
    <w:rsid w:val="00011A04"/>
    <w:rsid w:val="00011D2B"/>
    <w:rsid w:val="00011D7B"/>
    <w:rsid w:val="00011F9D"/>
    <w:rsid w:val="000124E6"/>
    <w:rsid w:val="000124EB"/>
    <w:rsid w:val="00012B21"/>
    <w:rsid w:val="00012CD8"/>
    <w:rsid w:val="00013053"/>
    <w:rsid w:val="000132C3"/>
    <w:rsid w:val="0001352E"/>
    <w:rsid w:val="00013714"/>
    <w:rsid w:val="0001375D"/>
    <w:rsid w:val="000137F3"/>
    <w:rsid w:val="00013B5A"/>
    <w:rsid w:val="00013C2F"/>
    <w:rsid w:val="00014195"/>
    <w:rsid w:val="00014469"/>
    <w:rsid w:val="00014519"/>
    <w:rsid w:val="000145A1"/>
    <w:rsid w:val="0001486B"/>
    <w:rsid w:val="00014EE9"/>
    <w:rsid w:val="0001526B"/>
    <w:rsid w:val="00015448"/>
    <w:rsid w:val="00015631"/>
    <w:rsid w:val="0001591E"/>
    <w:rsid w:val="00015A92"/>
    <w:rsid w:val="00015C3E"/>
    <w:rsid w:val="00015DB3"/>
    <w:rsid w:val="00015DBA"/>
    <w:rsid w:val="00015EE7"/>
    <w:rsid w:val="00016080"/>
    <w:rsid w:val="00016748"/>
    <w:rsid w:val="00016903"/>
    <w:rsid w:val="00016B99"/>
    <w:rsid w:val="00016C98"/>
    <w:rsid w:val="00016D4A"/>
    <w:rsid w:val="00016E4D"/>
    <w:rsid w:val="00017DF4"/>
    <w:rsid w:val="00017F1E"/>
    <w:rsid w:val="00017F48"/>
    <w:rsid w:val="00020365"/>
    <w:rsid w:val="00020380"/>
    <w:rsid w:val="0002049C"/>
    <w:rsid w:val="000204C4"/>
    <w:rsid w:val="000206E1"/>
    <w:rsid w:val="00020737"/>
    <w:rsid w:val="00020957"/>
    <w:rsid w:val="00020A7D"/>
    <w:rsid w:val="00020C67"/>
    <w:rsid w:val="00020E07"/>
    <w:rsid w:val="00020FF3"/>
    <w:rsid w:val="0002109E"/>
    <w:rsid w:val="000211DC"/>
    <w:rsid w:val="00021472"/>
    <w:rsid w:val="00021665"/>
    <w:rsid w:val="00021AFB"/>
    <w:rsid w:val="00021B1C"/>
    <w:rsid w:val="00021DBF"/>
    <w:rsid w:val="00022085"/>
    <w:rsid w:val="000221BB"/>
    <w:rsid w:val="0002236C"/>
    <w:rsid w:val="0002303A"/>
    <w:rsid w:val="000234FB"/>
    <w:rsid w:val="000235AB"/>
    <w:rsid w:val="000238E8"/>
    <w:rsid w:val="0002393A"/>
    <w:rsid w:val="0002393F"/>
    <w:rsid w:val="00023A7B"/>
    <w:rsid w:val="00023F4B"/>
    <w:rsid w:val="00023FD8"/>
    <w:rsid w:val="0002424B"/>
    <w:rsid w:val="00024264"/>
    <w:rsid w:val="000243A6"/>
    <w:rsid w:val="00024464"/>
    <w:rsid w:val="00024535"/>
    <w:rsid w:val="0002479D"/>
    <w:rsid w:val="0002508A"/>
    <w:rsid w:val="000253AA"/>
    <w:rsid w:val="000254D3"/>
    <w:rsid w:val="00025720"/>
    <w:rsid w:val="00025847"/>
    <w:rsid w:val="00025B1B"/>
    <w:rsid w:val="00025E39"/>
    <w:rsid w:val="00025F78"/>
    <w:rsid w:val="0002640D"/>
    <w:rsid w:val="000264BC"/>
    <w:rsid w:val="00026885"/>
    <w:rsid w:val="00026890"/>
    <w:rsid w:val="00026A99"/>
    <w:rsid w:val="0002703B"/>
    <w:rsid w:val="00027251"/>
    <w:rsid w:val="00027436"/>
    <w:rsid w:val="000277E1"/>
    <w:rsid w:val="000278C0"/>
    <w:rsid w:val="0003047B"/>
    <w:rsid w:val="0003072D"/>
    <w:rsid w:val="00030D11"/>
    <w:rsid w:val="0003127B"/>
    <w:rsid w:val="00031634"/>
    <w:rsid w:val="00031AEF"/>
    <w:rsid w:val="00031B2D"/>
    <w:rsid w:val="00031DDB"/>
    <w:rsid w:val="00032060"/>
    <w:rsid w:val="00032114"/>
    <w:rsid w:val="000322D1"/>
    <w:rsid w:val="000324ED"/>
    <w:rsid w:val="000325B1"/>
    <w:rsid w:val="000327D0"/>
    <w:rsid w:val="00032947"/>
    <w:rsid w:val="00032D10"/>
    <w:rsid w:val="00032D1F"/>
    <w:rsid w:val="0003314D"/>
    <w:rsid w:val="000332DB"/>
    <w:rsid w:val="00033400"/>
    <w:rsid w:val="000334D3"/>
    <w:rsid w:val="000335EB"/>
    <w:rsid w:val="00033606"/>
    <w:rsid w:val="000339D7"/>
    <w:rsid w:val="00033E9C"/>
    <w:rsid w:val="0003412E"/>
    <w:rsid w:val="000345E9"/>
    <w:rsid w:val="00034857"/>
    <w:rsid w:val="00034BEB"/>
    <w:rsid w:val="00034E81"/>
    <w:rsid w:val="0003514F"/>
    <w:rsid w:val="00035155"/>
    <w:rsid w:val="0003518A"/>
    <w:rsid w:val="0003527C"/>
    <w:rsid w:val="000356C9"/>
    <w:rsid w:val="000357CF"/>
    <w:rsid w:val="00035805"/>
    <w:rsid w:val="00035937"/>
    <w:rsid w:val="0003604B"/>
    <w:rsid w:val="000361C4"/>
    <w:rsid w:val="000365B0"/>
    <w:rsid w:val="000367D2"/>
    <w:rsid w:val="00036BB9"/>
    <w:rsid w:val="00036BC1"/>
    <w:rsid w:val="00036EC3"/>
    <w:rsid w:val="00037014"/>
    <w:rsid w:val="00037136"/>
    <w:rsid w:val="000375E3"/>
    <w:rsid w:val="00037F74"/>
    <w:rsid w:val="00037F83"/>
    <w:rsid w:val="000407A5"/>
    <w:rsid w:val="000409E8"/>
    <w:rsid w:val="00040C3E"/>
    <w:rsid w:val="00040DC2"/>
    <w:rsid w:val="000412D7"/>
    <w:rsid w:val="000418C4"/>
    <w:rsid w:val="00041935"/>
    <w:rsid w:val="000419D2"/>
    <w:rsid w:val="000419E3"/>
    <w:rsid w:val="00041AAA"/>
    <w:rsid w:val="00041C3A"/>
    <w:rsid w:val="00041DFF"/>
    <w:rsid w:val="00042054"/>
    <w:rsid w:val="00042159"/>
    <w:rsid w:val="000429AA"/>
    <w:rsid w:val="00042AEB"/>
    <w:rsid w:val="00042BF6"/>
    <w:rsid w:val="00042C69"/>
    <w:rsid w:val="00042F44"/>
    <w:rsid w:val="00043156"/>
    <w:rsid w:val="0004317E"/>
    <w:rsid w:val="0004354F"/>
    <w:rsid w:val="00043A8D"/>
    <w:rsid w:val="00043FAB"/>
    <w:rsid w:val="0004432D"/>
    <w:rsid w:val="000443EC"/>
    <w:rsid w:val="00044743"/>
    <w:rsid w:val="000447BA"/>
    <w:rsid w:val="00044B8A"/>
    <w:rsid w:val="0004504E"/>
    <w:rsid w:val="0004523D"/>
    <w:rsid w:val="00045289"/>
    <w:rsid w:val="00045778"/>
    <w:rsid w:val="00045E31"/>
    <w:rsid w:val="00045FB7"/>
    <w:rsid w:val="000460A6"/>
    <w:rsid w:val="0004619B"/>
    <w:rsid w:val="0004630F"/>
    <w:rsid w:val="0004644F"/>
    <w:rsid w:val="000464CE"/>
    <w:rsid w:val="00046622"/>
    <w:rsid w:val="00046902"/>
    <w:rsid w:val="0004692A"/>
    <w:rsid w:val="00046988"/>
    <w:rsid w:val="00046F21"/>
    <w:rsid w:val="0004729A"/>
    <w:rsid w:val="000472B7"/>
    <w:rsid w:val="0004733D"/>
    <w:rsid w:val="00047372"/>
    <w:rsid w:val="00047711"/>
    <w:rsid w:val="0004776A"/>
    <w:rsid w:val="000477E8"/>
    <w:rsid w:val="000479E9"/>
    <w:rsid w:val="00047EC7"/>
    <w:rsid w:val="00047F49"/>
    <w:rsid w:val="00050277"/>
    <w:rsid w:val="0005061E"/>
    <w:rsid w:val="000507F6"/>
    <w:rsid w:val="0005082F"/>
    <w:rsid w:val="00050B5A"/>
    <w:rsid w:val="00050E21"/>
    <w:rsid w:val="00051378"/>
    <w:rsid w:val="00051605"/>
    <w:rsid w:val="00051A9D"/>
    <w:rsid w:val="000526D5"/>
    <w:rsid w:val="0005290C"/>
    <w:rsid w:val="000529AC"/>
    <w:rsid w:val="00052A61"/>
    <w:rsid w:val="00052A6C"/>
    <w:rsid w:val="00052C79"/>
    <w:rsid w:val="00052D65"/>
    <w:rsid w:val="000533B6"/>
    <w:rsid w:val="00053650"/>
    <w:rsid w:val="00053744"/>
    <w:rsid w:val="00053812"/>
    <w:rsid w:val="000539ED"/>
    <w:rsid w:val="00053ACB"/>
    <w:rsid w:val="00053ED9"/>
    <w:rsid w:val="00054BAF"/>
    <w:rsid w:val="00054C29"/>
    <w:rsid w:val="00054F5B"/>
    <w:rsid w:val="0005506A"/>
    <w:rsid w:val="00055869"/>
    <w:rsid w:val="000558CD"/>
    <w:rsid w:val="00055F10"/>
    <w:rsid w:val="000563B1"/>
    <w:rsid w:val="00056401"/>
    <w:rsid w:val="0005650A"/>
    <w:rsid w:val="0005688F"/>
    <w:rsid w:val="0005699F"/>
    <w:rsid w:val="00057446"/>
    <w:rsid w:val="00057627"/>
    <w:rsid w:val="0005777D"/>
    <w:rsid w:val="00057B62"/>
    <w:rsid w:val="00057BA5"/>
    <w:rsid w:val="00057C87"/>
    <w:rsid w:val="00057ECB"/>
    <w:rsid w:val="00060512"/>
    <w:rsid w:val="00060D99"/>
    <w:rsid w:val="0006104E"/>
    <w:rsid w:val="000612A1"/>
    <w:rsid w:val="00061432"/>
    <w:rsid w:val="000615CD"/>
    <w:rsid w:val="00061869"/>
    <w:rsid w:val="00061A4C"/>
    <w:rsid w:val="00061AAD"/>
    <w:rsid w:val="00061BFB"/>
    <w:rsid w:val="00061ECC"/>
    <w:rsid w:val="00062116"/>
    <w:rsid w:val="0006282E"/>
    <w:rsid w:val="00062C42"/>
    <w:rsid w:val="00062CC2"/>
    <w:rsid w:val="00062EE8"/>
    <w:rsid w:val="00063271"/>
    <w:rsid w:val="000633D6"/>
    <w:rsid w:val="00063439"/>
    <w:rsid w:val="00063AC6"/>
    <w:rsid w:val="00065050"/>
    <w:rsid w:val="000650DB"/>
    <w:rsid w:val="000653AE"/>
    <w:rsid w:val="0006570F"/>
    <w:rsid w:val="0006577C"/>
    <w:rsid w:val="000658FA"/>
    <w:rsid w:val="000659C5"/>
    <w:rsid w:val="0006623C"/>
    <w:rsid w:val="00066465"/>
    <w:rsid w:val="000668DC"/>
    <w:rsid w:val="00066BFD"/>
    <w:rsid w:val="00066DE8"/>
    <w:rsid w:val="00066E86"/>
    <w:rsid w:val="00066EA0"/>
    <w:rsid w:val="000670E9"/>
    <w:rsid w:val="00067431"/>
    <w:rsid w:val="000677C9"/>
    <w:rsid w:val="000678DB"/>
    <w:rsid w:val="00067977"/>
    <w:rsid w:val="00067A20"/>
    <w:rsid w:val="00067AAA"/>
    <w:rsid w:val="00067C16"/>
    <w:rsid w:val="00067D25"/>
    <w:rsid w:val="00067D34"/>
    <w:rsid w:val="00070506"/>
    <w:rsid w:val="000705E5"/>
    <w:rsid w:val="0007061F"/>
    <w:rsid w:val="000706EB"/>
    <w:rsid w:val="0007128C"/>
    <w:rsid w:val="00071341"/>
    <w:rsid w:val="0007196E"/>
    <w:rsid w:val="00071A76"/>
    <w:rsid w:val="0007212A"/>
    <w:rsid w:val="0007238A"/>
    <w:rsid w:val="00072CC0"/>
    <w:rsid w:val="00072CF1"/>
    <w:rsid w:val="00073273"/>
    <w:rsid w:val="0007337B"/>
    <w:rsid w:val="00073651"/>
    <w:rsid w:val="00073695"/>
    <w:rsid w:val="00073698"/>
    <w:rsid w:val="00073AD2"/>
    <w:rsid w:val="00073BC2"/>
    <w:rsid w:val="00073BCA"/>
    <w:rsid w:val="00073BD7"/>
    <w:rsid w:val="00073C64"/>
    <w:rsid w:val="00073CD9"/>
    <w:rsid w:val="00073F16"/>
    <w:rsid w:val="00073F26"/>
    <w:rsid w:val="00073F42"/>
    <w:rsid w:val="00074129"/>
    <w:rsid w:val="000743EF"/>
    <w:rsid w:val="0007459B"/>
    <w:rsid w:val="000745EF"/>
    <w:rsid w:val="00074679"/>
    <w:rsid w:val="00074868"/>
    <w:rsid w:val="00074933"/>
    <w:rsid w:val="0007571E"/>
    <w:rsid w:val="00075722"/>
    <w:rsid w:val="00075777"/>
    <w:rsid w:val="0007578E"/>
    <w:rsid w:val="00075803"/>
    <w:rsid w:val="00075F60"/>
    <w:rsid w:val="000761CF"/>
    <w:rsid w:val="000761FC"/>
    <w:rsid w:val="000766DD"/>
    <w:rsid w:val="00076A7D"/>
    <w:rsid w:val="0007715B"/>
    <w:rsid w:val="000772B1"/>
    <w:rsid w:val="00077656"/>
    <w:rsid w:val="000776C2"/>
    <w:rsid w:val="000778D6"/>
    <w:rsid w:val="00077977"/>
    <w:rsid w:val="00077C0B"/>
    <w:rsid w:val="00077C21"/>
    <w:rsid w:val="00077C99"/>
    <w:rsid w:val="00077D37"/>
    <w:rsid w:val="0008029C"/>
    <w:rsid w:val="00080541"/>
    <w:rsid w:val="000808D3"/>
    <w:rsid w:val="00080D26"/>
    <w:rsid w:val="00081119"/>
    <w:rsid w:val="0008129B"/>
    <w:rsid w:val="00081335"/>
    <w:rsid w:val="00081941"/>
    <w:rsid w:val="00081AF5"/>
    <w:rsid w:val="00082289"/>
    <w:rsid w:val="000823AA"/>
    <w:rsid w:val="00082725"/>
    <w:rsid w:val="00082B20"/>
    <w:rsid w:val="00082F60"/>
    <w:rsid w:val="0008321D"/>
    <w:rsid w:val="000835B6"/>
    <w:rsid w:val="000836ED"/>
    <w:rsid w:val="000839CF"/>
    <w:rsid w:val="00083B2F"/>
    <w:rsid w:val="00084058"/>
    <w:rsid w:val="000840AC"/>
    <w:rsid w:val="000842B2"/>
    <w:rsid w:val="000843E3"/>
    <w:rsid w:val="000844CF"/>
    <w:rsid w:val="000845A0"/>
    <w:rsid w:val="0008475F"/>
    <w:rsid w:val="000849C4"/>
    <w:rsid w:val="00084CCD"/>
    <w:rsid w:val="00084F51"/>
    <w:rsid w:val="000851F5"/>
    <w:rsid w:val="00085798"/>
    <w:rsid w:val="000858DD"/>
    <w:rsid w:val="00085B4D"/>
    <w:rsid w:val="00085C86"/>
    <w:rsid w:val="00085E37"/>
    <w:rsid w:val="000862C3"/>
    <w:rsid w:val="000866E3"/>
    <w:rsid w:val="00086C1D"/>
    <w:rsid w:val="00086DB3"/>
    <w:rsid w:val="00086DC1"/>
    <w:rsid w:val="00086E02"/>
    <w:rsid w:val="00087039"/>
    <w:rsid w:val="000870E3"/>
    <w:rsid w:val="0008723F"/>
    <w:rsid w:val="00087346"/>
    <w:rsid w:val="00087357"/>
    <w:rsid w:val="00087596"/>
    <w:rsid w:val="00087778"/>
    <w:rsid w:val="00087857"/>
    <w:rsid w:val="000879AA"/>
    <w:rsid w:val="00087A82"/>
    <w:rsid w:val="00087B4D"/>
    <w:rsid w:val="00087C3A"/>
    <w:rsid w:val="00087C63"/>
    <w:rsid w:val="000903EF"/>
    <w:rsid w:val="00090B02"/>
    <w:rsid w:val="00090DBB"/>
    <w:rsid w:val="00090F54"/>
    <w:rsid w:val="00090FB0"/>
    <w:rsid w:val="0009146C"/>
    <w:rsid w:val="00091510"/>
    <w:rsid w:val="00091549"/>
    <w:rsid w:val="00091E31"/>
    <w:rsid w:val="00092544"/>
    <w:rsid w:val="00092718"/>
    <w:rsid w:val="00092912"/>
    <w:rsid w:val="0009295F"/>
    <w:rsid w:val="00092961"/>
    <w:rsid w:val="00093332"/>
    <w:rsid w:val="00093505"/>
    <w:rsid w:val="0009395A"/>
    <w:rsid w:val="00093ABF"/>
    <w:rsid w:val="00093CD3"/>
    <w:rsid w:val="00093F5E"/>
    <w:rsid w:val="00093FA5"/>
    <w:rsid w:val="00093FE2"/>
    <w:rsid w:val="00094149"/>
    <w:rsid w:val="00094169"/>
    <w:rsid w:val="00094336"/>
    <w:rsid w:val="0009443D"/>
    <w:rsid w:val="000947E8"/>
    <w:rsid w:val="00094A44"/>
    <w:rsid w:val="00094A98"/>
    <w:rsid w:val="00094C25"/>
    <w:rsid w:val="00094EF5"/>
    <w:rsid w:val="00094F0E"/>
    <w:rsid w:val="00095336"/>
    <w:rsid w:val="000953ED"/>
    <w:rsid w:val="00095663"/>
    <w:rsid w:val="00095694"/>
    <w:rsid w:val="00095730"/>
    <w:rsid w:val="000959F1"/>
    <w:rsid w:val="00096026"/>
    <w:rsid w:val="000960AA"/>
    <w:rsid w:val="00096356"/>
    <w:rsid w:val="00096470"/>
    <w:rsid w:val="00096C70"/>
    <w:rsid w:val="00097520"/>
    <w:rsid w:val="00097660"/>
    <w:rsid w:val="0009791B"/>
    <w:rsid w:val="00097A9A"/>
    <w:rsid w:val="00097B41"/>
    <w:rsid w:val="00097C58"/>
    <w:rsid w:val="00097CD4"/>
    <w:rsid w:val="00097E5B"/>
    <w:rsid w:val="00097F98"/>
    <w:rsid w:val="00097FD6"/>
    <w:rsid w:val="000A0923"/>
    <w:rsid w:val="000A0DD8"/>
    <w:rsid w:val="000A0F60"/>
    <w:rsid w:val="000A0F79"/>
    <w:rsid w:val="000A106F"/>
    <w:rsid w:val="000A27B2"/>
    <w:rsid w:val="000A27CB"/>
    <w:rsid w:val="000A2AFF"/>
    <w:rsid w:val="000A2D58"/>
    <w:rsid w:val="000A2F43"/>
    <w:rsid w:val="000A332D"/>
    <w:rsid w:val="000A3337"/>
    <w:rsid w:val="000A33F0"/>
    <w:rsid w:val="000A3976"/>
    <w:rsid w:val="000A3B47"/>
    <w:rsid w:val="000A424A"/>
    <w:rsid w:val="000A46A6"/>
    <w:rsid w:val="000A4DA0"/>
    <w:rsid w:val="000A50E1"/>
    <w:rsid w:val="000A52BD"/>
    <w:rsid w:val="000A53E1"/>
    <w:rsid w:val="000A55B1"/>
    <w:rsid w:val="000A5747"/>
    <w:rsid w:val="000A5925"/>
    <w:rsid w:val="000A597C"/>
    <w:rsid w:val="000A5992"/>
    <w:rsid w:val="000A5A36"/>
    <w:rsid w:val="000A5D8A"/>
    <w:rsid w:val="000A6204"/>
    <w:rsid w:val="000A62FD"/>
    <w:rsid w:val="000A63D6"/>
    <w:rsid w:val="000A6840"/>
    <w:rsid w:val="000A69D7"/>
    <w:rsid w:val="000A6B4E"/>
    <w:rsid w:val="000A6BA0"/>
    <w:rsid w:val="000A713A"/>
    <w:rsid w:val="000A743D"/>
    <w:rsid w:val="000A78CA"/>
    <w:rsid w:val="000A7980"/>
    <w:rsid w:val="000A7D50"/>
    <w:rsid w:val="000A7D74"/>
    <w:rsid w:val="000A7EFF"/>
    <w:rsid w:val="000B02A6"/>
    <w:rsid w:val="000B030C"/>
    <w:rsid w:val="000B0364"/>
    <w:rsid w:val="000B0936"/>
    <w:rsid w:val="000B0EE8"/>
    <w:rsid w:val="000B112B"/>
    <w:rsid w:val="000B11F0"/>
    <w:rsid w:val="000B1336"/>
    <w:rsid w:val="000B16DF"/>
    <w:rsid w:val="000B1829"/>
    <w:rsid w:val="000B1FC1"/>
    <w:rsid w:val="000B246B"/>
    <w:rsid w:val="000B24AA"/>
    <w:rsid w:val="000B25CE"/>
    <w:rsid w:val="000B2775"/>
    <w:rsid w:val="000B287B"/>
    <w:rsid w:val="000B2FD3"/>
    <w:rsid w:val="000B3256"/>
    <w:rsid w:val="000B330F"/>
    <w:rsid w:val="000B34E1"/>
    <w:rsid w:val="000B3BA5"/>
    <w:rsid w:val="000B3E8D"/>
    <w:rsid w:val="000B3F17"/>
    <w:rsid w:val="000B4041"/>
    <w:rsid w:val="000B417B"/>
    <w:rsid w:val="000B41B2"/>
    <w:rsid w:val="000B42D1"/>
    <w:rsid w:val="000B4350"/>
    <w:rsid w:val="000B444F"/>
    <w:rsid w:val="000B48D2"/>
    <w:rsid w:val="000B4C35"/>
    <w:rsid w:val="000B507D"/>
    <w:rsid w:val="000B54D3"/>
    <w:rsid w:val="000B58A6"/>
    <w:rsid w:val="000B5DAF"/>
    <w:rsid w:val="000B6059"/>
    <w:rsid w:val="000B60CD"/>
    <w:rsid w:val="000B64A2"/>
    <w:rsid w:val="000B653D"/>
    <w:rsid w:val="000B6B5A"/>
    <w:rsid w:val="000B6B66"/>
    <w:rsid w:val="000B6CFD"/>
    <w:rsid w:val="000B739E"/>
    <w:rsid w:val="000B776F"/>
    <w:rsid w:val="000B78D3"/>
    <w:rsid w:val="000B790C"/>
    <w:rsid w:val="000B7AC1"/>
    <w:rsid w:val="000B7BE0"/>
    <w:rsid w:val="000B7D14"/>
    <w:rsid w:val="000B7D97"/>
    <w:rsid w:val="000C0027"/>
    <w:rsid w:val="000C06FC"/>
    <w:rsid w:val="000C0D87"/>
    <w:rsid w:val="000C0E73"/>
    <w:rsid w:val="000C1046"/>
    <w:rsid w:val="000C1377"/>
    <w:rsid w:val="000C1522"/>
    <w:rsid w:val="000C1527"/>
    <w:rsid w:val="000C1649"/>
    <w:rsid w:val="000C18CB"/>
    <w:rsid w:val="000C194F"/>
    <w:rsid w:val="000C1B02"/>
    <w:rsid w:val="000C1D73"/>
    <w:rsid w:val="000C1F0C"/>
    <w:rsid w:val="000C20E0"/>
    <w:rsid w:val="000C273F"/>
    <w:rsid w:val="000C2B63"/>
    <w:rsid w:val="000C2EB9"/>
    <w:rsid w:val="000C323F"/>
    <w:rsid w:val="000C3AC9"/>
    <w:rsid w:val="000C3AF1"/>
    <w:rsid w:val="000C43A4"/>
    <w:rsid w:val="000C45B7"/>
    <w:rsid w:val="000C469F"/>
    <w:rsid w:val="000C46C7"/>
    <w:rsid w:val="000C4996"/>
    <w:rsid w:val="000C4CA5"/>
    <w:rsid w:val="000C4DEF"/>
    <w:rsid w:val="000C5098"/>
    <w:rsid w:val="000C5242"/>
    <w:rsid w:val="000C533D"/>
    <w:rsid w:val="000C5572"/>
    <w:rsid w:val="000C563D"/>
    <w:rsid w:val="000C5899"/>
    <w:rsid w:val="000C5CFC"/>
    <w:rsid w:val="000C6136"/>
    <w:rsid w:val="000C6A1C"/>
    <w:rsid w:val="000C6B06"/>
    <w:rsid w:val="000C6FBB"/>
    <w:rsid w:val="000C716B"/>
    <w:rsid w:val="000C7635"/>
    <w:rsid w:val="000C7636"/>
    <w:rsid w:val="000C7CBD"/>
    <w:rsid w:val="000D04D0"/>
    <w:rsid w:val="000D0978"/>
    <w:rsid w:val="000D0CE0"/>
    <w:rsid w:val="000D0F24"/>
    <w:rsid w:val="000D1281"/>
    <w:rsid w:val="000D12F5"/>
    <w:rsid w:val="000D15A5"/>
    <w:rsid w:val="000D16F2"/>
    <w:rsid w:val="000D1ACC"/>
    <w:rsid w:val="000D1DBB"/>
    <w:rsid w:val="000D1E52"/>
    <w:rsid w:val="000D1FF7"/>
    <w:rsid w:val="000D2028"/>
    <w:rsid w:val="000D20CE"/>
    <w:rsid w:val="000D2127"/>
    <w:rsid w:val="000D21B5"/>
    <w:rsid w:val="000D2383"/>
    <w:rsid w:val="000D2477"/>
    <w:rsid w:val="000D2566"/>
    <w:rsid w:val="000D27B2"/>
    <w:rsid w:val="000D27B4"/>
    <w:rsid w:val="000D2A1A"/>
    <w:rsid w:val="000D2D7C"/>
    <w:rsid w:val="000D2F69"/>
    <w:rsid w:val="000D32E5"/>
    <w:rsid w:val="000D3487"/>
    <w:rsid w:val="000D3507"/>
    <w:rsid w:val="000D37E0"/>
    <w:rsid w:val="000D3A6C"/>
    <w:rsid w:val="000D3AF7"/>
    <w:rsid w:val="000D3F32"/>
    <w:rsid w:val="000D3FC9"/>
    <w:rsid w:val="000D4A78"/>
    <w:rsid w:val="000D4C00"/>
    <w:rsid w:val="000D4E0F"/>
    <w:rsid w:val="000D4F71"/>
    <w:rsid w:val="000D4FC7"/>
    <w:rsid w:val="000D50E3"/>
    <w:rsid w:val="000D5182"/>
    <w:rsid w:val="000D528D"/>
    <w:rsid w:val="000D562C"/>
    <w:rsid w:val="000D679E"/>
    <w:rsid w:val="000D6B8B"/>
    <w:rsid w:val="000D6C3D"/>
    <w:rsid w:val="000D6D3E"/>
    <w:rsid w:val="000D6D52"/>
    <w:rsid w:val="000D6E96"/>
    <w:rsid w:val="000D74EB"/>
    <w:rsid w:val="000D77EA"/>
    <w:rsid w:val="000D78B9"/>
    <w:rsid w:val="000D7974"/>
    <w:rsid w:val="000D7C8E"/>
    <w:rsid w:val="000D7DFB"/>
    <w:rsid w:val="000E026D"/>
    <w:rsid w:val="000E02F2"/>
    <w:rsid w:val="000E0599"/>
    <w:rsid w:val="000E05AB"/>
    <w:rsid w:val="000E05D2"/>
    <w:rsid w:val="000E0FBB"/>
    <w:rsid w:val="000E1095"/>
    <w:rsid w:val="000E131F"/>
    <w:rsid w:val="000E14BC"/>
    <w:rsid w:val="000E166B"/>
    <w:rsid w:val="000E16E4"/>
    <w:rsid w:val="000E172C"/>
    <w:rsid w:val="000E1985"/>
    <w:rsid w:val="000E1C7D"/>
    <w:rsid w:val="000E1CF0"/>
    <w:rsid w:val="000E1F7B"/>
    <w:rsid w:val="000E2122"/>
    <w:rsid w:val="000E296F"/>
    <w:rsid w:val="000E2CEC"/>
    <w:rsid w:val="000E2F96"/>
    <w:rsid w:val="000E32C6"/>
    <w:rsid w:val="000E3402"/>
    <w:rsid w:val="000E35C0"/>
    <w:rsid w:val="000E3A3B"/>
    <w:rsid w:val="000E3D2F"/>
    <w:rsid w:val="000E3D64"/>
    <w:rsid w:val="000E3F09"/>
    <w:rsid w:val="000E3F4E"/>
    <w:rsid w:val="000E4266"/>
    <w:rsid w:val="000E4295"/>
    <w:rsid w:val="000E4369"/>
    <w:rsid w:val="000E4486"/>
    <w:rsid w:val="000E4487"/>
    <w:rsid w:val="000E5025"/>
    <w:rsid w:val="000E59F2"/>
    <w:rsid w:val="000E5D03"/>
    <w:rsid w:val="000E5E3E"/>
    <w:rsid w:val="000E62BE"/>
    <w:rsid w:val="000E68F9"/>
    <w:rsid w:val="000E6EFE"/>
    <w:rsid w:val="000E72E3"/>
    <w:rsid w:val="000E7343"/>
    <w:rsid w:val="000E74AB"/>
    <w:rsid w:val="000E7C61"/>
    <w:rsid w:val="000E7CFA"/>
    <w:rsid w:val="000E7D14"/>
    <w:rsid w:val="000F026E"/>
    <w:rsid w:val="000F0375"/>
    <w:rsid w:val="000F0914"/>
    <w:rsid w:val="000F0A4C"/>
    <w:rsid w:val="000F0E43"/>
    <w:rsid w:val="000F0F4B"/>
    <w:rsid w:val="000F1024"/>
    <w:rsid w:val="000F1133"/>
    <w:rsid w:val="000F1166"/>
    <w:rsid w:val="000F1226"/>
    <w:rsid w:val="000F154D"/>
    <w:rsid w:val="000F1594"/>
    <w:rsid w:val="000F177C"/>
    <w:rsid w:val="000F1B96"/>
    <w:rsid w:val="000F1EA2"/>
    <w:rsid w:val="000F2062"/>
    <w:rsid w:val="000F21E1"/>
    <w:rsid w:val="000F2527"/>
    <w:rsid w:val="000F2696"/>
    <w:rsid w:val="000F2D00"/>
    <w:rsid w:val="000F2E04"/>
    <w:rsid w:val="000F3196"/>
    <w:rsid w:val="000F33B5"/>
    <w:rsid w:val="000F3BC1"/>
    <w:rsid w:val="000F3EA7"/>
    <w:rsid w:val="000F4130"/>
    <w:rsid w:val="000F4213"/>
    <w:rsid w:val="000F42EB"/>
    <w:rsid w:val="000F4703"/>
    <w:rsid w:val="000F4877"/>
    <w:rsid w:val="000F4C03"/>
    <w:rsid w:val="000F4D65"/>
    <w:rsid w:val="000F505D"/>
    <w:rsid w:val="000F535D"/>
    <w:rsid w:val="000F53A7"/>
    <w:rsid w:val="000F556A"/>
    <w:rsid w:val="000F5BAF"/>
    <w:rsid w:val="000F5C5B"/>
    <w:rsid w:val="000F629F"/>
    <w:rsid w:val="000F678F"/>
    <w:rsid w:val="000F6B0F"/>
    <w:rsid w:val="000F6CFB"/>
    <w:rsid w:val="000F6F50"/>
    <w:rsid w:val="000F718F"/>
    <w:rsid w:val="000F72C0"/>
    <w:rsid w:val="000F749F"/>
    <w:rsid w:val="000F7585"/>
    <w:rsid w:val="000F77EA"/>
    <w:rsid w:val="000F7831"/>
    <w:rsid w:val="000F787A"/>
    <w:rsid w:val="000F78EA"/>
    <w:rsid w:val="000F79F9"/>
    <w:rsid w:val="000F7A18"/>
    <w:rsid w:val="000F7B95"/>
    <w:rsid w:val="000F7FA0"/>
    <w:rsid w:val="001000AD"/>
    <w:rsid w:val="0010063F"/>
    <w:rsid w:val="0010084D"/>
    <w:rsid w:val="001008BE"/>
    <w:rsid w:val="00100BC4"/>
    <w:rsid w:val="00100C9D"/>
    <w:rsid w:val="00100F2F"/>
    <w:rsid w:val="00101368"/>
    <w:rsid w:val="001017FB"/>
    <w:rsid w:val="00101A6D"/>
    <w:rsid w:val="00101EB4"/>
    <w:rsid w:val="00102061"/>
    <w:rsid w:val="00102333"/>
    <w:rsid w:val="001028AC"/>
    <w:rsid w:val="00102BA9"/>
    <w:rsid w:val="00102CC6"/>
    <w:rsid w:val="00102D4A"/>
    <w:rsid w:val="00102DC9"/>
    <w:rsid w:val="00103313"/>
    <w:rsid w:val="00103549"/>
    <w:rsid w:val="00104038"/>
    <w:rsid w:val="00104360"/>
    <w:rsid w:val="00104418"/>
    <w:rsid w:val="00104946"/>
    <w:rsid w:val="00104A9B"/>
    <w:rsid w:val="00104D5B"/>
    <w:rsid w:val="00104E05"/>
    <w:rsid w:val="00105231"/>
    <w:rsid w:val="001054DC"/>
    <w:rsid w:val="00105814"/>
    <w:rsid w:val="00105ABB"/>
    <w:rsid w:val="00105AE3"/>
    <w:rsid w:val="00105F7D"/>
    <w:rsid w:val="00106004"/>
    <w:rsid w:val="0010605F"/>
    <w:rsid w:val="001060A2"/>
    <w:rsid w:val="0010659C"/>
    <w:rsid w:val="001065A4"/>
    <w:rsid w:val="001065B6"/>
    <w:rsid w:val="001068CC"/>
    <w:rsid w:val="001069EB"/>
    <w:rsid w:val="00107275"/>
    <w:rsid w:val="001076D9"/>
    <w:rsid w:val="001078E3"/>
    <w:rsid w:val="00107CDF"/>
    <w:rsid w:val="00107F44"/>
    <w:rsid w:val="00107FAA"/>
    <w:rsid w:val="0011010F"/>
    <w:rsid w:val="00110182"/>
    <w:rsid w:val="00110372"/>
    <w:rsid w:val="0011045E"/>
    <w:rsid w:val="0011053A"/>
    <w:rsid w:val="001106C3"/>
    <w:rsid w:val="00110FEC"/>
    <w:rsid w:val="0011101F"/>
    <w:rsid w:val="00111538"/>
    <w:rsid w:val="001115A5"/>
    <w:rsid w:val="001116D5"/>
    <w:rsid w:val="0011174D"/>
    <w:rsid w:val="001118C8"/>
    <w:rsid w:val="001119CD"/>
    <w:rsid w:val="00111DBC"/>
    <w:rsid w:val="001120D6"/>
    <w:rsid w:val="001128E2"/>
    <w:rsid w:val="00112B3E"/>
    <w:rsid w:val="001131A1"/>
    <w:rsid w:val="00113252"/>
    <w:rsid w:val="001139B1"/>
    <w:rsid w:val="00113DE5"/>
    <w:rsid w:val="0011420E"/>
    <w:rsid w:val="0011426F"/>
    <w:rsid w:val="00114388"/>
    <w:rsid w:val="0011475C"/>
    <w:rsid w:val="0011493A"/>
    <w:rsid w:val="00114CBB"/>
    <w:rsid w:val="00114DBC"/>
    <w:rsid w:val="001154E2"/>
    <w:rsid w:val="0011551A"/>
    <w:rsid w:val="00115801"/>
    <w:rsid w:val="00115B68"/>
    <w:rsid w:val="0011666F"/>
    <w:rsid w:val="0011686C"/>
    <w:rsid w:val="00116BF9"/>
    <w:rsid w:val="00117958"/>
    <w:rsid w:val="00117A65"/>
    <w:rsid w:val="00117D99"/>
    <w:rsid w:val="001202EA"/>
    <w:rsid w:val="0012030B"/>
    <w:rsid w:val="00120796"/>
    <w:rsid w:val="0012079B"/>
    <w:rsid w:val="00120B63"/>
    <w:rsid w:val="00120D7E"/>
    <w:rsid w:val="0012126B"/>
    <w:rsid w:val="0012170C"/>
    <w:rsid w:val="00121B62"/>
    <w:rsid w:val="00121D3F"/>
    <w:rsid w:val="0012244B"/>
    <w:rsid w:val="001224B1"/>
    <w:rsid w:val="0012285A"/>
    <w:rsid w:val="00122A13"/>
    <w:rsid w:val="00122AFD"/>
    <w:rsid w:val="00122C88"/>
    <w:rsid w:val="00122E9D"/>
    <w:rsid w:val="00122F4B"/>
    <w:rsid w:val="00122F60"/>
    <w:rsid w:val="00123467"/>
    <w:rsid w:val="001234CA"/>
    <w:rsid w:val="00123A1B"/>
    <w:rsid w:val="00123D7D"/>
    <w:rsid w:val="001242DC"/>
    <w:rsid w:val="001243AB"/>
    <w:rsid w:val="00124508"/>
    <w:rsid w:val="00124530"/>
    <w:rsid w:val="00124C2E"/>
    <w:rsid w:val="00124D17"/>
    <w:rsid w:val="0012537B"/>
    <w:rsid w:val="00125418"/>
    <w:rsid w:val="001254E3"/>
    <w:rsid w:val="0012569D"/>
    <w:rsid w:val="00125897"/>
    <w:rsid w:val="001258C8"/>
    <w:rsid w:val="00125B8D"/>
    <w:rsid w:val="00125DD4"/>
    <w:rsid w:val="001265AF"/>
    <w:rsid w:val="00126E89"/>
    <w:rsid w:val="001274E3"/>
    <w:rsid w:val="00127DA1"/>
    <w:rsid w:val="00130287"/>
    <w:rsid w:val="0013076D"/>
    <w:rsid w:val="0013077D"/>
    <w:rsid w:val="001307B2"/>
    <w:rsid w:val="00130BFB"/>
    <w:rsid w:val="00130E03"/>
    <w:rsid w:val="00130F0C"/>
    <w:rsid w:val="00131322"/>
    <w:rsid w:val="00131480"/>
    <w:rsid w:val="00131503"/>
    <w:rsid w:val="00131885"/>
    <w:rsid w:val="001319D4"/>
    <w:rsid w:val="00131C9D"/>
    <w:rsid w:val="00131DE4"/>
    <w:rsid w:val="001322DE"/>
    <w:rsid w:val="001323DB"/>
    <w:rsid w:val="00132A52"/>
    <w:rsid w:val="00132CC9"/>
    <w:rsid w:val="00132D38"/>
    <w:rsid w:val="00133063"/>
    <w:rsid w:val="00133091"/>
    <w:rsid w:val="001339E8"/>
    <w:rsid w:val="00133B63"/>
    <w:rsid w:val="00133B8A"/>
    <w:rsid w:val="00133C23"/>
    <w:rsid w:val="0013454B"/>
    <w:rsid w:val="001348DB"/>
    <w:rsid w:val="001349AF"/>
    <w:rsid w:val="00134BA0"/>
    <w:rsid w:val="00134EA4"/>
    <w:rsid w:val="00135061"/>
    <w:rsid w:val="001350BA"/>
    <w:rsid w:val="00135192"/>
    <w:rsid w:val="001351B2"/>
    <w:rsid w:val="00135323"/>
    <w:rsid w:val="00135939"/>
    <w:rsid w:val="00135ADE"/>
    <w:rsid w:val="00135B8C"/>
    <w:rsid w:val="00135D21"/>
    <w:rsid w:val="0013662E"/>
    <w:rsid w:val="001366CE"/>
    <w:rsid w:val="00136892"/>
    <w:rsid w:val="00136B53"/>
    <w:rsid w:val="00136DDB"/>
    <w:rsid w:val="0013705B"/>
    <w:rsid w:val="001370EE"/>
    <w:rsid w:val="001371B8"/>
    <w:rsid w:val="00137977"/>
    <w:rsid w:val="001406CF"/>
    <w:rsid w:val="00140A00"/>
    <w:rsid w:val="00141160"/>
    <w:rsid w:val="0014135D"/>
    <w:rsid w:val="001418F7"/>
    <w:rsid w:val="001419BD"/>
    <w:rsid w:val="00141AF5"/>
    <w:rsid w:val="001422EA"/>
    <w:rsid w:val="001422F0"/>
    <w:rsid w:val="001423EE"/>
    <w:rsid w:val="00142431"/>
    <w:rsid w:val="0014273C"/>
    <w:rsid w:val="001427CF"/>
    <w:rsid w:val="001427D8"/>
    <w:rsid w:val="00142968"/>
    <w:rsid w:val="001429B2"/>
    <w:rsid w:val="001429FD"/>
    <w:rsid w:val="00142A0D"/>
    <w:rsid w:val="00142C5D"/>
    <w:rsid w:val="00142E26"/>
    <w:rsid w:val="001430D2"/>
    <w:rsid w:val="0014333B"/>
    <w:rsid w:val="001433F3"/>
    <w:rsid w:val="00143F02"/>
    <w:rsid w:val="001441E8"/>
    <w:rsid w:val="001442DF"/>
    <w:rsid w:val="00144B16"/>
    <w:rsid w:val="00144CD1"/>
    <w:rsid w:val="00144D2E"/>
    <w:rsid w:val="00144F9A"/>
    <w:rsid w:val="00145280"/>
    <w:rsid w:val="00145281"/>
    <w:rsid w:val="001454A4"/>
    <w:rsid w:val="00145567"/>
    <w:rsid w:val="00145900"/>
    <w:rsid w:val="00145D35"/>
    <w:rsid w:val="00145ED6"/>
    <w:rsid w:val="00145F00"/>
    <w:rsid w:val="00146113"/>
    <w:rsid w:val="001462A5"/>
    <w:rsid w:val="00146725"/>
    <w:rsid w:val="00146BF1"/>
    <w:rsid w:val="00146BFA"/>
    <w:rsid w:val="00146EC4"/>
    <w:rsid w:val="001474BE"/>
    <w:rsid w:val="0015002E"/>
    <w:rsid w:val="00150349"/>
    <w:rsid w:val="00150610"/>
    <w:rsid w:val="0015074C"/>
    <w:rsid w:val="0015081E"/>
    <w:rsid w:val="00150B45"/>
    <w:rsid w:val="00150DFF"/>
    <w:rsid w:val="001514B5"/>
    <w:rsid w:val="0015168D"/>
    <w:rsid w:val="001516EA"/>
    <w:rsid w:val="00151AB1"/>
    <w:rsid w:val="00151F19"/>
    <w:rsid w:val="00152486"/>
    <w:rsid w:val="00152873"/>
    <w:rsid w:val="00152975"/>
    <w:rsid w:val="00152B31"/>
    <w:rsid w:val="00152B9D"/>
    <w:rsid w:val="00152BCD"/>
    <w:rsid w:val="001533D9"/>
    <w:rsid w:val="001536A1"/>
    <w:rsid w:val="00153719"/>
    <w:rsid w:val="00153850"/>
    <w:rsid w:val="00153A3E"/>
    <w:rsid w:val="001545B9"/>
    <w:rsid w:val="00154673"/>
    <w:rsid w:val="001547CC"/>
    <w:rsid w:val="00154A5B"/>
    <w:rsid w:val="00154B62"/>
    <w:rsid w:val="00155066"/>
    <w:rsid w:val="0015509F"/>
    <w:rsid w:val="00155253"/>
    <w:rsid w:val="00155287"/>
    <w:rsid w:val="001552EF"/>
    <w:rsid w:val="0015591A"/>
    <w:rsid w:val="00155DA4"/>
    <w:rsid w:val="00156056"/>
    <w:rsid w:val="0015606B"/>
    <w:rsid w:val="0015679A"/>
    <w:rsid w:val="00156944"/>
    <w:rsid w:val="00156AAE"/>
    <w:rsid w:val="00156B10"/>
    <w:rsid w:val="0015720D"/>
    <w:rsid w:val="001577DF"/>
    <w:rsid w:val="00157885"/>
    <w:rsid w:val="0015790F"/>
    <w:rsid w:val="00157918"/>
    <w:rsid w:val="00157980"/>
    <w:rsid w:val="00157C11"/>
    <w:rsid w:val="00157C23"/>
    <w:rsid w:val="001603D5"/>
    <w:rsid w:val="0016051B"/>
    <w:rsid w:val="001605A4"/>
    <w:rsid w:val="00160C3A"/>
    <w:rsid w:val="00160C3F"/>
    <w:rsid w:val="0016124E"/>
    <w:rsid w:val="00161258"/>
    <w:rsid w:val="001612D1"/>
    <w:rsid w:val="00161719"/>
    <w:rsid w:val="0016175A"/>
    <w:rsid w:val="00161BCA"/>
    <w:rsid w:val="00161C5D"/>
    <w:rsid w:val="00162078"/>
    <w:rsid w:val="00162326"/>
    <w:rsid w:val="00162540"/>
    <w:rsid w:val="001626D8"/>
    <w:rsid w:val="0016276D"/>
    <w:rsid w:val="001628DF"/>
    <w:rsid w:val="0016297F"/>
    <w:rsid w:val="001629AC"/>
    <w:rsid w:val="00162C5E"/>
    <w:rsid w:val="00162CBF"/>
    <w:rsid w:val="00162F64"/>
    <w:rsid w:val="00163009"/>
    <w:rsid w:val="001631D3"/>
    <w:rsid w:val="001636F0"/>
    <w:rsid w:val="00163C3F"/>
    <w:rsid w:val="00163CD9"/>
    <w:rsid w:val="00163D57"/>
    <w:rsid w:val="00163DC0"/>
    <w:rsid w:val="00163DEB"/>
    <w:rsid w:val="00164154"/>
    <w:rsid w:val="0016467D"/>
    <w:rsid w:val="00164D99"/>
    <w:rsid w:val="00164DAD"/>
    <w:rsid w:val="00164E16"/>
    <w:rsid w:val="001652C0"/>
    <w:rsid w:val="0016550A"/>
    <w:rsid w:val="0016552A"/>
    <w:rsid w:val="0016557B"/>
    <w:rsid w:val="0016563A"/>
    <w:rsid w:val="001659DF"/>
    <w:rsid w:val="0016638F"/>
    <w:rsid w:val="00166B48"/>
    <w:rsid w:val="00166C44"/>
    <w:rsid w:val="00166CED"/>
    <w:rsid w:val="00166D67"/>
    <w:rsid w:val="00166E17"/>
    <w:rsid w:val="001671B4"/>
    <w:rsid w:val="00167333"/>
    <w:rsid w:val="0016741A"/>
    <w:rsid w:val="00167656"/>
    <w:rsid w:val="001676EA"/>
    <w:rsid w:val="00167AE1"/>
    <w:rsid w:val="00167B3D"/>
    <w:rsid w:val="00167B69"/>
    <w:rsid w:val="00167CFC"/>
    <w:rsid w:val="00167E0E"/>
    <w:rsid w:val="00167E2D"/>
    <w:rsid w:val="0017036B"/>
    <w:rsid w:val="0017048B"/>
    <w:rsid w:val="001704CE"/>
    <w:rsid w:val="00170543"/>
    <w:rsid w:val="001706A1"/>
    <w:rsid w:val="00170759"/>
    <w:rsid w:val="00170928"/>
    <w:rsid w:val="00170A3C"/>
    <w:rsid w:val="00170A98"/>
    <w:rsid w:val="00170AF5"/>
    <w:rsid w:val="00170B3F"/>
    <w:rsid w:val="00170BD9"/>
    <w:rsid w:val="00170D79"/>
    <w:rsid w:val="00170F2B"/>
    <w:rsid w:val="001712AA"/>
    <w:rsid w:val="0017160F"/>
    <w:rsid w:val="00171639"/>
    <w:rsid w:val="001716D4"/>
    <w:rsid w:val="00171A52"/>
    <w:rsid w:val="00172017"/>
    <w:rsid w:val="0017299D"/>
    <w:rsid w:val="001729AE"/>
    <w:rsid w:val="00172A61"/>
    <w:rsid w:val="001731EA"/>
    <w:rsid w:val="00173398"/>
    <w:rsid w:val="00173606"/>
    <w:rsid w:val="00173713"/>
    <w:rsid w:val="00173D5C"/>
    <w:rsid w:val="0017421C"/>
    <w:rsid w:val="001744CF"/>
    <w:rsid w:val="001749C0"/>
    <w:rsid w:val="00174AB0"/>
    <w:rsid w:val="00175145"/>
    <w:rsid w:val="0017582D"/>
    <w:rsid w:val="0017587B"/>
    <w:rsid w:val="00175929"/>
    <w:rsid w:val="00175DB1"/>
    <w:rsid w:val="0017669A"/>
    <w:rsid w:val="00176747"/>
    <w:rsid w:val="00177284"/>
    <w:rsid w:val="001773F8"/>
    <w:rsid w:val="001776B2"/>
    <w:rsid w:val="001776DA"/>
    <w:rsid w:val="00177BE4"/>
    <w:rsid w:val="00177EFE"/>
    <w:rsid w:val="00180125"/>
    <w:rsid w:val="0018046C"/>
    <w:rsid w:val="0018086E"/>
    <w:rsid w:val="00180A0F"/>
    <w:rsid w:val="00180B77"/>
    <w:rsid w:val="00180D54"/>
    <w:rsid w:val="0018100D"/>
    <w:rsid w:val="0018130C"/>
    <w:rsid w:val="0018131B"/>
    <w:rsid w:val="00181601"/>
    <w:rsid w:val="001816A9"/>
    <w:rsid w:val="0018176A"/>
    <w:rsid w:val="001817DA"/>
    <w:rsid w:val="00181864"/>
    <w:rsid w:val="00181D63"/>
    <w:rsid w:val="00181DEF"/>
    <w:rsid w:val="00182369"/>
    <w:rsid w:val="001824C3"/>
    <w:rsid w:val="00182828"/>
    <w:rsid w:val="00182AE8"/>
    <w:rsid w:val="00182B96"/>
    <w:rsid w:val="00182D94"/>
    <w:rsid w:val="00182E54"/>
    <w:rsid w:val="001834E8"/>
    <w:rsid w:val="00183CB8"/>
    <w:rsid w:val="00183D36"/>
    <w:rsid w:val="001840F6"/>
    <w:rsid w:val="00184176"/>
    <w:rsid w:val="0018450F"/>
    <w:rsid w:val="00184604"/>
    <w:rsid w:val="001847A1"/>
    <w:rsid w:val="001848CF"/>
    <w:rsid w:val="00184A98"/>
    <w:rsid w:val="00185267"/>
    <w:rsid w:val="001852B0"/>
    <w:rsid w:val="0018531D"/>
    <w:rsid w:val="0018534F"/>
    <w:rsid w:val="00185598"/>
    <w:rsid w:val="00185F40"/>
    <w:rsid w:val="001860F8"/>
    <w:rsid w:val="00186CC9"/>
    <w:rsid w:val="00186DC5"/>
    <w:rsid w:val="00187095"/>
    <w:rsid w:val="00187099"/>
    <w:rsid w:val="001874CE"/>
    <w:rsid w:val="00187548"/>
    <w:rsid w:val="00187572"/>
    <w:rsid w:val="001875EE"/>
    <w:rsid w:val="0018780A"/>
    <w:rsid w:val="0018793E"/>
    <w:rsid w:val="001879E1"/>
    <w:rsid w:val="001901A1"/>
    <w:rsid w:val="0019020F"/>
    <w:rsid w:val="00190CA1"/>
    <w:rsid w:val="00190F1C"/>
    <w:rsid w:val="001911E9"/>
    <w:rsid w:val="001913C4"/>
    <w:rsid w:val="001913E3"/>
    <w:rsid w:val="00191526"/>
    <w:rsid w:val="00191648"/>
    <w:rsid w:val="00191786"/>
    <w:rsid w:val="001918AE"/>
    <w:rsid w:val="001924F2"/>
    <w:rsid w:val="00192C8B"/>
    <w:rsid w:val="00192F27"/>
    <w:rsid w:val="00193111"/>
    <w:rsid w:val="001934BA"/>
    <w:rsid w:val="00193826"/>
    <w:rsid w:val="001938FF"/>
    <w:rsid w:val="00193D67"/>
    <w:rsid w:val="00193DD0"/>
    <w:rsid w:val="00193FFB"/>
    <w:rsid w:val="001941EE"/>
    <w:rsid w:val="00194318"/>
    <w:rsid w:val="001945DD"/>
    <w:rsid w:val="00194608"/>
    <w:rsid w:val="0019470F"/>
    <w:rsid w:val="00194DB6"/>
    <w:rsid w:val="001953F7"/>
    <w:rsid w:val="001958E2"/>
    <w:rsid w:val="0019599F"/>
    <w:rsid w:val="00195AC4"/>
    <w:rsid w:val="00195B4F"/>
    <w:rsid w:val="00195FBE"/>
    <w:rsid w:val="00196008"/>
    <w:rsid w:val="001960C0"/>
    <w:rsid w:val="00196145"/>
    <w:rsid w:val="001961F5"/>
    <w:rsid w:val="0019638D"/>
    <w:rsid w:val="00196560"/>
    <w:rsid w:val="001965EE"/>
    <w:rsid w:val="00196A6B"/>
    <w:rsid w:val="00196E87"/>
    <w:rsid w:val="00196E9B"/>
    <w:rsid w:val="00196FC3"/>
    <w:rsid w:val="001974B1"/>
    <w:rsid w:val="001978E7"/>
    <w:rsid w:val="00197B92"/>
    <w:rsid w:val="00197D7D"/>
    <w:rsid w:val="001A0523"/>
    <w:rsid w:val="001A0785"/>
    <w:rsid w:val="001A087C"/>
    <w:rsid w:val="001A0A01"/>
    <w:rsid w:val="001A0ADE"/>
    <w:rsid w:val="001A0AE2"/>
    <w:rsid w:val="001A0E7D"/>
    <w:rsid w:val="001A0EC1"/>
    <w:rsid w:val="001A0ED8"/>
    <w:rsid w:val="001A0EEF"/>
    <w:rsid w:val="001A173E"/>
    <w:rsid w:val="001A18CA"/>
    <w:rsid w:val="001A1985"/>
    <w:rsid w:val="001A1BF4"/>
    <w:rsid w:val="001A1D33"/>
    <w:rsid w:val="001A1DFA"/>
    <w:rsid w:val="001A1EC7"/>
    <w:rsid w:val="001A1F77"/>
    <w:rsid w:val="001A1FCE"/>
    <w:rsid w:val="001A2AB7"/>
    <w:rsid w:val="001A2C39"/>
    <w:rsid w:val="001A356D"/>
    <w:rsid w:val="001A3687"/>
    <w:rsid w:val="001A38F8"/>
    <w:rsid w:val="001A3B39"/>
    <w:rsid w:val="001A3BD5"/>
    <w:rsid w:val="001A3C10"/>
    <w:rsid w:val="001A3D64"/>
    <w:rsid w:val="001A3E56"/>
    <w:rsid w:val="001A3F3B"/>
    <w:rsid w:val="001A47BD"/>
    <w:rsid w:val="001A4967"/>
    <w:rsid w:val="001A4CF1"/>
    <w:rsid w:val="001A4F6E"/>
    <w:rsid w:val="001A4F86"/>
    <w:rsid w:val="001A5772"/>
    <w:rsid w:val="001A5FCE"/>
    <w:rsid w:val="001A60C1"/>
    <w:rsid w:val="001A612F"/>
    <w:rsid w:val="001A6164"/>
    <w:rsid w:val="001A6181"/>
    <w:rsid w:val="001A693C"/>
    <w:rsid w:val="001A6F59"/>
    <w:rsid w:val="001A72AC"/>
    <w:rsid w:val="001A72C3"/>
    <w:rsid w:val="001A79AE"/>
    <w:rsid w:val="001A7B62"/>
    <w:rsid w:val="001A7F7D"/>
    <w:rsid w:val="001B04D6"/>
    <w:rsid w:val="001B0985"/>
    <w:rsid w:val="001B0B5A"/>
    <w:rsid w:val="001B0C55"/>
    <w:rsid w:val="001B0D6F"/>
    <w:rsid w:val="001B10A9"/>
    <w:rsid w:val="001B1388"/>
    <w:rsid w:val="001B17A4"/>
    <w:rsid w:val="001B1CD3"/>
    <w:rsid w:val="001B1CF2"/>
    <w:rsid w:val="001B1E29"/>
    <w:rsid w:val="001B218C"/>
    <w:rsid w:val="001B2616"/>
    <w:rsid w:val="001B26D2"/>
    <w:rsid w:val="001B2876"/>
    <w:rsid w:val="001B28D8"/>
    <w:rsid w:val="001B2A87"/>
    <w:rsid w:val="001B3101"/>
    <w:rsid w:val="001B3306"/>
    <w:rsid w:val="001B37CA"/>
    <w:rsid w:val="001B38C4"/>
    <w:rsid w:val="001B3A48"/>
    <w:rsid w:val="001B3ADC"/>
    <w:rsid w:val="001B3C93"/>
    <w:rsid w:val="001B3D52"/>
    <w:rsid w:val="001B45BC"/>
    <w:rsid w:val="001B46F8"/>
    <w:rsid w:val="001B4797"/>
    <w:rsid w:val="001B48BD"/>
    <w:rsid w:val="001B4BFE"/>
    <w:rsid w:val="001B4D61"/>
    <w:rsid w:val="001B4DDE"/>
    <w:rsid w:val="001B53B7"/>
    <w:rsid w:val="001B564E"/>
    <w:rsid w:val="001B5CE4"/>
    <w:rsid w:val="001B603C"/>
    <w:rsid w:val="001B63F3"/>
    <w:rsid w:val="001B65B1"/>
    <w:rsid w:val="001B6721"/>
    <w:rsid w:val="001B6A51"/>
    <w:rsid w:val="001B6CDF"/>
    <w:rsid w:val="001B75EE"/>
    <w:rsid w:val="001B7830"/>
    <w:rsid w:val="001B7A80"/>
    <w:rsid w:val="001B7ADD"/>
    <w:rsid w:val="001B7CD5"/>
    <w:rsid w:val="001B7D56"/>
    <w:rsid w:val="001B7DAC"/>
    <w:rsid w:val="001C040C"/>
    <w:rsid w:val="001C0574"/>
    <w:rsid w:val="001C06CB"/>
    <w:rsid w:val="001C0778"/>
    <w:rsid w:val="001C08D8"/>
    <w:rsid w:val="001C09B2"/>
    <w:rsid w:val="001C0AF9"/>
    <w:rsid w:val="001C0DFB"/>
    <w:rsid w:val="001C0F48"/>
    <w:rsid w:val="001C0FDF"/>
    <w:rsid w:val="001C1034"/>
    <w:rsid w:val="001C1277"/>
    <w:rsid w:val="001C1316"/>
    <w:rsid w:val="001C1334"/>
    <w:rsid w:val="001C1584"/>
    <w:rsid w:val="001C171C"/>
    <w:rsid w:val="001C181F"/>
    <w:rsid w:val="001C1820"/>
    <w:rsid w:val="001C18D5"/>
    <w:rsid w:val="001C18FF"/>
    <w:rsid w:val="001C1A47"/>
    <w:rsid w:val="001C225F"/>
    <w:rsid w:val="001C27AE"/>
    <w:rsid w:val="001C2B0E"/>
    <w:rsid w:val="001C2B4A"/>
    <w:rsid w:val="001C2D21"/>
    <w:rsid w:val="001C2F7E"/>
    <w:rsid w:val="001C32DD"/>
    <w:rsid w:val="001C38A9"/>
    <w:rsid w:val="001C397E"/>
    <w:rsid w:val="001C3AB5"/>
    <w:rsid w:val="001C3D48"/>
    <w:rsid w:val="001C4153"/>
    <w:rsid w:val="001C4441"/>
    <w:rsid w:val="001C48D9"/>
    <w:rsid w:val="001C4921"/>
    <w:rsid w:val="001C4A41"/>
    <w:rsid w:val="001C4E6E"/>
    <w:rsid w:val="001C5316"/>
    <w:rsid w:val="001C5CB7"/>
    <w:rsid w:val="001C604F"/>
    <w:rsid w:val="001C610E"/>
    <w:rsid w:val="001C6119"/>
    <w:rsid w:val="001C6199"/>
    <w:rsid w:val="001C63E8"/>
    <w:rsid w:val="001C6418"/>
    <w:rsid w:val="001C646C"/>
    <w:rsid w:val="001C672C"/>
    <w:rsid w:val="001C6F83"/>
    <w:rsid w:val="001C75BF"/>
    <w:rsid w:val="001C7909"/>
    <w:rsid w:val="001C79FC"/>
    <w:rsid w:val="001C7B7C"/>
    <w:rsid w:val="001C7D00"/>
    <w:rsid w:val="001C7D6F"/>
    <w:rsid w:val="001C7FAC"/>
    <w:rsid w:val="001D0305"/>
    <w:rsid w:val="001D04C6"/>
    <w:rsid w:val="001D05B1"/>
    <w:rsid w:val="001D0EEC"/>
    <w:rsid w:val="001D1068"/>
    <w:rsid w:val="001D121E"/>
    <w:rsid w:val="001D1237"/>
    <w:rsid w:val="001D1240"/>
    <w:rsid w:val="001D125C"/>
    <w:rsid w:val="001D15D3"/>
    <w:rsid w:val="001D1646"/>
    <w:rsid w:val="001D165F"/>
    <w:rsid w:val="001D169A"/>
    <w:rsid w:val="001D17CD"/>
    <w:rsid w:val="001D190D"/>
    <w:rsid w:val="001D194A"/>
    <w:rsid w:val="001D1D69"/>
    <w:rsid w:val="001D1ED9"/>
    <w:rsid w:val="001D21BA"/>
    <w:rsid w:val="001D21C5"/>
    <w:rsid w:val="001D24E3"/>
    <w:rsid w:val="001D275E"/>
    <w:rsid w:val="001D30E2"/>
    <w:rsid w:val="001D34BE"/>
    <w:rsid w:val="001D3A9F"/>
    <w:rsid w:val="001D3B42"/>
    <w:rsid w:val="001D40E1"/>
    <w:rsid w:val="001D425A"/>
    <w:rsid w:val="001D4445"/>
    <w:rsid w:val="001D459E"/>
    <w:rsid w:val="001D4837"/>
    <w:rsid w:val="001D4A64"/>
    <w:rsid w:val="001D4DF8"/>
    <w:rsid w:val="001D4ED4"/>
    <w:rsid w:val="001D4F86"/>
    <w:rsid w:val="001D50F8"/>
    <w:rsid w:val="001D522D"/>
    <w:rsid w:val="001D58C3"/>
    <w:rsid w:val="001D5EF1"/>
    <w:rsid w:val="001D646C"/>
    <w:rsid w:val="001D675D"/>
    <w:rsid w:val="001D6CA7"/>
    <w:rsid w:val="001D6CE3"/>
    <w:rsid w:val="001D6E28"/>
    <w:rsid w:val="001D7200"/>
    <w:rsid w:val="001D762F"/>
    <w:rsid w:val="001D787E"/>
    <w:rsid w:val="001D7AA9"/>
    <w:rsid w:val="001E01D0"/>
    <w:rsid w:val="001E0585"/>
    <w:rsid w:val="001E08F8"/>
    <w:rsid w:val="001E0991"/>
    <w:rsid w:val="001E0B03"/>
    <w:rsid w:val="001E0CF3"/>
    <w:rsid w:val="001E0D0B"/>
    <w:rsid w:val="001E0FF4"/>
    <w:rsid w:val="001E15CE"/>
    <w:rsid w:val="001E1657"/>
    <w:rsid w:val="001E1D92"/>
    <w:rsid w:val="001E1F7F"/>
    <w:rsid w:val="001E2194"/>
    <w:rsid w:val="001E2525"/>
    <w:rsid w:val="001E270F"/>
    <w:rsid w:val="001E2828"/>
    <w:rsid w:val="001E29EF"/>
    <w:rsid w:val="001E2B36"/>
    <w:rsid w:val="001E2D83"/>
    <w:rsid w:val="001E2E3C"/>
    <w:rsid w:val="001E2E74"/>
    <w:rsid w:val="001E31CB"/>
    <w:rsid w:val="001E3567"/>
    <w:rsid w:val="001E3C87"/>
    <w:rsid w:val="001E3E92"/>
    <w:rsid w:val="001E3F78"/>
    <w:rsid w:val="001E401E"/>
    <w:rsid w:val="001E44DE"/>
    <w:rsid w:val="001E49DD"/>
    <w:rsid w:val="001E49E1"/>
    <w:rsid w:val="001E4B7E"/>
    <w:rsid w:val="001E4C8F"/>
    <w:rsid w:val="001E5042"/>
    <w:rsid w:val="001E5141"/>
    <w:rsid w:val="001E5191"/>
    <w:rsid w:val="001E54DE"/>
    <w:rsid w:val="001E55FF"/>
    <w:rsid w:val="001E5FB7"/>
    <w:rsid w:val="001E60A4"/>
    <w:rsid w:val="001E6420"/>
    <w:rsid w:val="001E66B6"/>
    <w:rsid w:val="001E6819"/>
    <w:rsid w:val="001E69DA"/>
    <w:rsid w:val="001E6B16"/>
    <w:rsid w:val="001E6B61"/>
    <w:rsid w:val="001E7190"/>
    <w:rsid w:val="001E7193"/>
    <w:rsid w:val="001E7FAB"/>
    <w:rsid w:val="001F03E8"/>
    <w:rsid w:val="001F0438"/>
    <w:rsid w:val="001F0922"/>
    <w:rsid w:val="001F0E8C"/>
    <w:rsid w:val="001F0F9E"/>
    <w:rsid w:val="001F1399"/>
    <w:rsid w:val="001F13A9"/>
    <w:rsid w:val="001F152D"/>
    <w:rsid w:val="001F168F"/>
    <w:rsid w:val="001F16DC"/>
    <w:rsid w:val="001F1865"/>
    <w:rsid w:val="001F1981"/>
    <w:rsid w:val="001F2037"/>
    <w:rsid w:val="001F209D"/>
    <w:rsid w:val="001F2531"/>
    <w:rsid w:val="001F288E"/>
    <w:rsid w:val="001F28E3"/>
    <w:rsid w:val="001F291E"/>
    <w:rsid w:val="001F2ADC"/>
    <w:rsid w:val="001F2EE8"/>
    <w:rsid w:val="001F3072"/>
    <w:rsid w:val="001F3A1F"/>
    <w:rsid w:val="001F3BDC"/>
    <w:rsid w:val="001F3C0B"/>
    <w:rsid w:val="001F3D02"/>
    <w:rsid w:val="001F4267"/>
    <w:rsid w:val="001F4B18"/>
    <w:rsid w:val="001F4DF5"/>
    <w:rsid w:val="001F4EC3"/>
    <w:rsid w:val="001F50A9"/>
    <w:rsid w:val="001F53F1"/>
    <w:rsid w:val="001F5934"/>
    <w:rsid w:val="001F5B7B"/>
    <w:rsid w:val="001F5C9F"/>
    <w:rsid w:val="001F5F1C"/>
    <w:rsid w:val="001F6999"/>
    <w:rsid w:val="001F69FA"/>
    <w:rsid w:val="001F6F50"/>
    <w:rsid w:val="001F701E"/>
    <w:rsid w:val="001F7391"/>
    <w:rsid w:val="001F77C4"/>
    <w:rsid w:val="001F7ABB"/>
    <w:rsid w:val="001F7C1A"/>
    <w:rsid w:val="002003C6"/>
    <w:rsid w:val="002005B9"/>
    <w:rsid w:val="002005EF"/>
    <w:rsid w:val="002007C3"/>
    <w:rsid w:val="002008CD"/>
    <w:rsid w:val="00200A6E"/>
    <w:rsid w:val="00200AD7"/>
    <w:rsid w:val="00201800"/>
    <w:rsid w:val="00201830"/>
    <w:rsid w:val="00201A51"/>
    <w:rsid w:val="00201AD8"/>
    <w:rsid w:val="00201B60"/>
    <w:rsid w:val="00201BB7"/>
    <w:rsid w:val="00201C5B"/>
    <w:rsid w:val="00201FC0"/>
    <w:rsid w:val="002022FF"/>
    <w:rsid w:val="002025F6"/>
    <w:rsid w:val="00202A3D"/>
    <w:rsid w:val="00202B38"/>
    <w:rsid w:val="00202CF6"/>
    <w:rsid w:val="00202D27"/>
    <w:rsid w:val="00202E43"/>
    <w:rsid w:val="0020326F"/>
    <w:rsid w:val="002033D4"/>
    <w:rsid w:val="00203FE3"/>
    <w:rsid w:val="00204233"/>
    <w:rsid w:val="002043EA"/>
    <w:rsid w:val="00204A5A"/>
    <w:rsid w:val="00204CF9"/>
    <w:rsid w:val="00204D0E"/>
    <w:rsid w:val="00204D1A"/>
    <w:rsid w:val="00204FB0"/>
    <w:rsid w:val="00205118"/>
    <w:rsid w:val="00205A53"/>
    <w:rsid w:val="00205F63"/>
    <w:rsid w:val="00206265"/>
    <w:rsid w:val="00206375"/>
    <w:rsid w:val="002066E4"/>
    <w:rsid w:val="00206FD1"/>
    <w:rsid w:val="00207200"/>
    <w:rsid w:val="00207238"/>
    <w:rsid w:val="0020773F"/>
    <w:rsid w:val="00207C94"/>
    <w:rsid w:val="0021014B"/>
    <w:rsid w:val="002101DF"/>
    <w:rsid w:val="00210559"/>
    <w:rsid w:val="00210EAD"/>
    <w:rsid w:val="00211011"/>
    <w:rsid w:val="00211126"/>
    <w:rsid w:val="00211178"/>
    <w:rsid w:val="002111EB"/>
    <w:rsid w:val="002113FD"/>
    <w:rsid w:val="002115EB"/>
    <w:rsid w:val="00211D50"/>
    <w:rsid w:val="00212728"/>
    <w:rsid w:val="0021272D"/>
    <w:rsid w:val="002129B5"/>
    <w:rsid w:val="00212D4A"/>
    <w:rsid w:val="00213231"/>
    <w:rsid w:val="002132C0"/>
    <w:rsid w:val="002133F3"/>
    <w:rsid w:val="002135ED"/>
    <w:rsid w:val="00213827"/>
    <w:rsid w:val="00213A0F"/>
    <w:rsid w:val="00213B6C"/>
    <w:rsid w:val="00213D4A"/>
    <w:rsid w:val="00213DFC"/>
    <w:rsid w:val="00213E5A"/>
    <w:rsid w:val="002147FF"/>
    <w:rsid w:val="00214887"/>
    <w:rsid w:val="00214A95"/>
    <w:rsid w:val="00214B67"/>
    <w:rsid w:val="00214D68"/>
    <w:rsid w:val="002150C4"/>
    <w:rsid w:val="002152EF"/>
    <w:rsid w:val="0021541F"/>
    <w:rsid w:val="002154CD"/>
    <w:rsid w:val="002159AF"/>
    <w:rsid w:val="00215B54"/>
    <w:rsid w:val="00215C18"/>
    <w:rsid w:val="00216305"/>
    <w:rsid w:val="0021637E"/>
    <w:rsid w:val="00216B88"/>
    <w:rsid w:val="00216E7F"/>
    <w:rsid w:val="0021711E"/>
    <w:rsid w:val="00217549"/>
    <w:rsid w:val="00217839"/>
    <w:rsid w:val="0021796C"/>
    <w:rsid w:val="00217999"/>
    <w:rsid w:val="002179A7"/>
    <w:rsid w:val="002179DE"/>
    <w:rsid w:val="002179DF"/>
    <w:rsid w:val="00217ABE"/>
    <w:rsid w:val="00217B83"/>
    <w:rsid w:val="0022013E"/>
    <w:rsid w:val="00220222"/>
    <w:rsid w:val="00220250"/>
    <w:rsid w:val="002209E6"/>
    <w:rsid w:val="00220A8F"/>
    <w:rsid w:val="00220D24"/>
    <w:rsid w:val="00220D27"/>
    <w:rsid w:val="00220E19"/>
    <w:rsid w:val="00220EB5"/>
    <w:rsid w:val="002211A6"/>
    <w:rsid w:val="0022195C"/>
    <w:rsid w:val="002219D2"/>
    <w:rsid w:val="00221D5D"/>
    <w:rsid w:val="00221F7D"/>
    <w:rsid w:val="0022221E"/>
    <w:rsid w:val="00222290"/>
    <w:rsid w:val="002222C1"/>
    <w:rsid w:val="00222645"/>
    <w:rsid w:val="002226F8"/>
    <w:rsid w:val="002228F8"/>
    <w:rsid w:val="00222A89"/>
    <w:rsid w:val="00222CCC"/>
    <w:rsid w:val="0022321A"/>
    <w:rsid w:val="00223536"/>
    <w:rsid w:val="002235E3"/>
    <w:rsid w:val="0022370B"/>
    <w:rsid w:val="00223954"/>
    <w:rsid w:val="00223986"/>
    <w:rsid w:val="002239A9"/>
    <w:rsid w:val="00223DA1"/>
    <w:rsid w:val="00224493"/>
    <w:rsid w:val="0022489D"/>
    <w:rsid w:val="002249A4"/>
    <w:rsid w:val="00225060"/>
    <w:rsid w:val="0022532E"/>
    <w:rsid w:val="00225756"/>
    <w:rsid w:val="00225902"/>
    <w:rsid w:val="00225A73"/>
    <w:rsid w:val="00225D26"/>
    <w:rsid w:val="00225D94"/>
    <w:rsid w:val="002264E4"/>
    <w:rsid w:val="00226745"/>
    <w:rsid w:val="00226818"/>
    <w:rsid w:val="0022685A"/>
    <w:rsid w:val="00226A51"/>
    <w:rsid w:val="00226ADD"/>
    <w:rsid w:val="00226B8F"/>
    <w:rsid w:val="00226BAD"/>
    <w:rsid w:val="00227319"/>
    <w:rsid w:val="00227468"/>
    <w:rsid w:val="0022775A"/>
    <w:rsid w:val="002278A0"/>
    <w:rsid w:val="002278F8"/>
    <w:rsid w:val="00227F35"/>
    <w:rsid w:val="0023015F"/>
    <w:rsid w:val="002303D3"/>
    <w:rsid w:val="002305F8"/>
    <w:rsid w:val="0023063C"/>
    <w:rsid w:val="00230778"/>
    <w:rsid w:val="00230888"/>
    <w:rsid w:val="00230BE0"/>
    <w:rsid w:val="00230C26"/>
    <w:rsid w:val="00231E91"/>
    <w:rsid w:val="00231FF9"/>
    <w:rsid w:val="002326E0"/>
    <w:rsid w:val="002328BB"/>
    <w:rsid w:val="00232D2A"/>
    <w:rsid w:val="00232D61"/>
    <w:rsid w:val="00232F12"/>
    <w:rsid w:val="00232F31"/>
    <w:rsid w:val="002331E2"/>
    <w:rsid w:val="00233223"/>
    <w:rsid w:val="002332D6"/>
    <w:rsid w:val="00233505"/>
    <w:rsid w:val="002338CE"/>
    <w:rsid w:val="00233D56"/>
    <w:rsid w:val="0023443A"/>
    <w:rsid w:val="00234475"/>
    <w:rsid w:val="00234561"/>
    <w:rsid w:val="00234719"/>
    <w:rsid w:val="00234B19"/>
    <w:rsid w:val="00235558"/>
    <w:rsid w:val="00235C86"/>
    <w:rsid w:val="00235D1D"/>
    <w:rsid w:val="00235E34"/>
    <w:rsid w:val="00235F25"/>
    <w:rsid w:val="0023657A"/>
    <w:rsid w:val="002365BD"/>
    <w:rsid w:val="00236794"/>
    <w:rsid w:val="00236A05"/>
    <w:rsid w:val="00236AC4"/>
    <w:rsid w:val="00236E11"/>
    <w:rsid w:val="00236F13"/>
    <w:rsid w:val="00237275"/>
    <w:rsid w:val="00237342"/>
    <w:rsid w:val="00237B36"/>
    <w:rsid w:val="00237FE3"/>
    <w:rsid w:val="002400E9"/>
    <w:rsid w:val="00240B17"/>
    <w:rsid w:val="00240D54"/>
    <w:rsid w:val="00240D55"/>
    <w:rsid w:val="00240DCE"/>
    <w:rsid w:val="002417C1"/>
    <w:rsid w:val="00241FC5"/>
    <w:rsid w:val="0024235F"/>
    <w:rsid w:val="002429D2"/>
    <w:rsid w:val="00242A23"/>
    <w:rsid w:val="00242CEF"/>
    <w:rsid w:val="00242EAB"/>
    <w:rsid w:val="00243947"/>
    <w:rsid w:val="00243950"/>
    <w:rsid w:val="00243A15"/>
    <w:rsid w:val="00243C57"/>
    <w:rsid w:val="0024415D"/>
    <w:rsid w:val="002441F6"/>
    <w:rsid w:val="0024543C"/>
    <w:rsid w:val="0024544C"/>
    <w:rsid w:val="002454AC"/>
    <w:rsid w:val="00245564"/>
    <w:rsid w:val="002457AD"/>
    <w:rsid w:val="0024595E"/>
    <w:rsid w:val="00245AA3"/>
    <w:rsid w:val="00245E8D"/>
    <w:rsid w:val="00245F12"/>
    <w:rsid w:val="00246268"/>
    <w:rsid w:val="00246336"/>
    <w:rsid w:val="00246487"/>
    <w:rsid w:val="00246572"/>
    <w:rsid w:val="0024657F"/>
    <w:rsid w:val="002465CB"/>
    <w:rsid w:val="00246803"/>
    <w:rsid w:val="00246F7A"/>
    <w:rsid w:val="00246F85"/>
    <w:rsid w:val="002471D7"/>
    <w:rsid w:val="002474DA"/>
    <w:rsid w:val="002476DF"/>
    <w:rsid w:val="002477F0"/>
    <w:rsid w:val="002478A5"/>
    <w:rsid w:val="00247ACE"/>
    <w:rsid w:val="00247DE7"/>
    <w:rsid w:val="0025003F"/>
    <w:rsid w:val="0025043F"/>
    <w:rsid w:val="0025064A"/>
    <w:rsid w:val="002507C5"/>
    <w:rsid w:val="0025096D"/>
    <w:rsid w:val="00250F34"/>
    <w:rsid w:val="0025113A"/>
    <w:rsid w:val="002512BD"/>
    <w:rsid w:val="002512F8"/>
    <w:rsid w:val="002513F6"/>
    <w:rsid w:val="002515B7"/>
    <w:rsid w:val="00251668"/>
    <w:rsid w:val="00251759"/>
    <w:rsid w:val="002519F0"/>
    <w:rsid w:val="00251B14"/>
    <w:rsid w:val="00251B6D"/>
    <w:rsid w:val="00251E95"/>
    <w:rsid w:val="00251F96"/>
    <w:rsid w:val="00252395"/>
    <w:rsid w:val="0025266C"/>
    <w:rsid w:val="0025273C"/>
    <w:rsid w:val="002529A0"/>
    <w:rsid w:val="00252C23"/>
    <w:rsid w:val="00252CE9"/>
    <w:rsid w:val="00253646"/>
    <w:rsid w:val="0025394B"/>
    <w:rsid w:val="002539D2"/>
    <w:rsid w:val="00253B6D"/>
    <w:rsid w:val="00253BE2"/>
    <w:rsid w:val="00253C9D"/>
    <w:rsid w:val="0025415E"/>
    <w:rsid w:val="00254255"/>
    <w:rsid w:val="0025444C"/>
    <w:rsid w:val="00254500"/>
    <w:rsid w:val="002548F3"/>
    <w:rsid w:val="00254CE6"/>
    <w:rsid w:val="00254EA3"/>
    <w:rsid w:val="002553A7"/>
    <w:rsid w:val="00255458"/>
    <w:rsid w:val="00255689"/>
    <w:rsid w:val="002557B6"/>
    <w:rsid w:val="00255EE1"/>
    <w:rsid w:val="002563DA"/>
    <w:rsid w:val="002567CB"/>
    <w:rsid w:val="00256A1C"/>
    <w:rsid w:val="00256A7F"/>
    <w:rsid w:val="00256AC4"/>
    <w:rsid w:val="00256BF2"/>
    <w:rsid w:val="002571D6"/>
    <w:rsid w:val="00257C3E"/>
    <w:rsid w:val="00257E03"/>
    <w:rsid w:val="0026003B"/>
    <w:rsid w:val="002601E1"/>
    <w:rsid w:val="0026080A"/>
    <w:rsid w:val="00260E4F"/>
    <w:rsid w:val="002614CC"/>
    <w:rsid w:val="002615AD"/>
    <w:rsid w:val="00261781"/>
    <w:rsid w:val="00261850"/>
    <w:rsid w:val="00261869"/>
    <w:rsid w:val="00262162"/>
    <w:rsid w:val="00262432"/>
    <w:rsid w:val="00262871"/>
    <w:rsid w:val="00262E0C"/>
    <w:rsid w:val="00262F17"/>
    <w:rsid w:val="00263059"/>
    <w:rsid w:val="0026329C"/>
    <w:rsid w:val="00263362"/>
    <w:rsid w:val="0026337D"/>
    <w:rsid w:val="00263489"/>
    <w:rsid w:val="00263591"/>
    <w:rsid w:val="00263F6D"/>
    <w:rsid w:val="0026405D"/>
    <w:rsid w:val="0026427E"/>
    <w:rsid w:val="00264704"/>
    <w:rsid w:val="002648C5"/>
    <w:rsid w:val="00264BAD"/>
    <w:rsid w:val="00264D6E"/>
    <w:rsid w:val="00264F00"/>
    <w:rsid w:val="002653ED"/>
    <w:rsid w:val="00265589"/>
    <w:rsid w:val="002659E1"/>
    <w:rsid w:val="00265D19"/>
    <w:rsid w:val="00266160"/>
    <w:rsid w:val="00266162"/>
    <w:rsid w:val="00266261"/>
    <w:rsid w:val="0026663E"/>
    <w:rsid w:val="00266984"/>
    <w:rsid w:val="00266C60"/>
    <w:rsid w:val="00267119"/>
    <w:rsid w:val="0026752D"/>
    <w:rsid w:val="002675D4"/>
    <w:rsid w:val="002701FC"/>
    <w:rsid w:val="00270363"/>
    <w:rsid w:val="002703EB"/>
    <w:rsid w:val="00270FF1"/>
    <w:rsid w:val="0027172E"/>
    <w:rsid w:val="00271A38"/>
    <w:rsid w:val="00271AFA"/>
    <w:rsid w:val="00271CF3"/>
    <w:rsid w:val="00271E07"/>
    <w:rsid w:val="00271FB5"/>
    <w:rsid w:val="002720F7"/>
    <w:rsid w:val="0027220A"/>
    <w:rsid w:val="00272298"/>
    <w:rsid w:val="00272371"/>
    <w:rsid w:val="002725D7"/>
    <w:rsid w:val="002729D3"/>
    <w:rsid w:val="00272BE8"/>
    <w:rsid w:val="00272F0A"/>
    <w:rsid w:val="0027334B"/>
    <w:rsid w:val="0027346A"/>
    <w:rsid w:val="002737C4"/>
    <w:rsid w:val="00273986"/>
    <w:rsid w:val="00273AAA"/>
    <w:rsid w:val="00273BB8"/>
    <w:rsid w:val="00274285"/>
    <w:rsid w:val="00274346"/>
    <w:rsid w:val="00274358"/>
    <w:rsid w:val="0027476F"/>
    <w:rsid w:val="00274A81"/>
    <w:rsid w:val="00274ADC"/>
    <w:rsid w:val="00274DC4"/>
    <w:rsid w:val="00274E4B"/>
    <w:rsid w:val="002750B7"/>
    <w:rsid w:val="00275C38"/>
    <w:rsid w:val="00276034"/>
    <w:rsid w:val="00276327"/>
    <w:rsid w:val="00276505"/>
    <w:rsid w:val="00276E6D"/>
    <w:rsid w:val="002770AC"/>
    <w:rsid w:val="00277BEB"/>
    <w:rsid w:val="002801BF"/>
    <w:rsid w:val="00280428"/>
    <w:rsid w:val="002809F0"/>
    <w:rsid w:val="002811C7"/>
    <w:rsid w:val="002812CA"/>
    <w:rsid w:val="00281322"/>
    <w:rsid w:val="0028147D"/>
    <w:rsid w:val="002816B4"/>
    <w:rsid w:val="002818C6"/>
    <w:rsid w:val="0028193C"/>
    <w:rsid w:val="00281EC4"/>
    <w:rsid w:val="00282143"/>
    <w:rsid w:val="00282373"/>
    <w:rsid w:val="00282477"/>
    <w:rsid w:val="0028249A"/>
    <w:rsid w:val="00282539"/>
    <w:rsid w:val="0028276A"/>
    <w:rsid w:val="0028287A"/>
    <w:rsid w:val="00282C66"/>
    <w:rsid w:val="00282D8C"/>
    <w:rsid w:val="002832E3"/>
    <w:rsid w:val="0028366E"/>
    <w:rsid w:val="002839C5"/>
    <w:rsid w:val="00283A5E"/>
    <w:rsid w:val="00283B1B"/>
    <w:rsid w:val="00283C4F"/>
    <w:rsid w:val="00283DDE"/>
    <w:rsid w:val="00284732"/>
    <w:rsid w:val="00285026"/>
    <w:rsid w:val="00285392"/>
    <w:rsid w:val="00285689"/>
    <w:rsid w:val="00285B25"/>
    <w:rsid w:val="00286094"/>
    <w:rsid w:val="002862A1"/>
    <w:rsid w:val="002863B4"/>
    <w:rsid w:val="002863BD"/>
    <w:rsid w:val="00286440"/>
    <w:rsid w:val="00286547"/>
    <w:rsid w:val="002865CC"/>
    <w:rsid w:val="00286756"/>
    <w:rsid w:val="00286ECA"/>
    <w:rsid w:val="0028715F"/>
    <w:rsid w:val="00287621"/>
    <w:rsid w:val="00287773"/>
    <w:rsid w:val="00287E30"/>
    <w:rsid w:val="00290087"/>
    <w:rsid w:val="00290263"/>
    <w:rsid w:val="002906CB"/>
    <w:rsid w:val="00290709"/>
    <w:rsid w:val="00290E03"/>
    <w:rsid w:val="00290E5E"/>
    <w:rsid w:val="00290F35"/>
    <w:rsid w:val="00291998"/>
    <w:rsid w:val="00291C2C"/>
    <w:rsid w:val="00292518"/>
    <w:rsid w:val="0029272B"/>
    <w:rsid w:val="002927B4"/>
    <w:rsid w:val="00292A02"/>
    <w:rsid w:val="00292C4E"/>
    <w:rsid w:val="00293511"/>
    <w:rsid w:val="00293BD3"/>
    <w:rsid w:val="00293E8C"/>
    <w:rsid w:val="0029447D"/>
    <w:rsid w:val="00294687"/>
    <w:rsid w:val="002947A7"/>
    <w:rsid w:val="00294CD5"/>
    <w:rsid w:val="00294E97"/>
    <w:rsid w:val="00294ECE"/>
    <w:rsid w:val="00295100"/>
    <w:rsid w:val="00295685"/>
    <w:rsid w:val="00295DE0"/>
    <w:rsid w:val="00295EED"/>
    <w:rsid w:val="00295F7E"/>
    <w:rsid w:val="002961A1"/>
    <w:rsid w:val="002961B6"/>
    <w:rsid w:val="002962D5"/>
    <w:rsid w:val="0029653F"/>
    <w:rsid w:val="00296632"/>
    <w:rsid w:val="00296E98"/>
    <w:rsid w:val="00296EA9"/>
    <w:rsid w:val="00296EFA"/>
    <w:rsid w:val="00297469"/>
    <w:rsid w:val="00297491"/>
    <w:rsid w:val="00297A3F"/>
    <w:rsid w:val="00297D48"/>
    <w:rsid w:val="002A01B4"/>
    <w:rsid w:val="002A0341"/>
    <w:rsid w:val="002A0363"/>
    <w:rsid w:val="002A0799"/>
    <w:rsid w:val="002A07DD"/>
    <w:rsid w:val="002A0E52"/>
    <w:rsid w:val="002A1196"/>
    <w:rsid w:val="002A1517"/>
    <w:rsid w:val="002A1597"/>
    <w:rsid w:val="002A1608"/>
    <w:rsid w:val="002A1613"/>
    <w:rsid w:val="002A18EE"/>
    <w:rsid w:val="002A1B28"/>
    <w:rsid w:val="002A1F7E"/>
    <w:rsid w:val="002A2249"/>
    <w:rsid w:val="002A2719"/>
    <w:rsid w:val="002A2803"/>
    <w:rsid w:val="002A289B"/>
    <w:rsid w:val="002A2DE1"/>
    <w:rsid w:val="002A2F1F"/>
    <w:rsid w:val="002A3028"/>
    <w:rsid w:val="002A333B"/>
    <w:rsid w:val="002A3661"/>
    <w:rsid w:val="002A37D3"/>
    <w:rsid w:val="002A3954"/>
    <w:rsid w:val="002A3ECE"/>
    <w:rsid w:val="002A451C"/>
    <w:rsid w:val="002A46CD"/>
    <w:rsid w:val="002A474B"/>
    <w:rsid w:val="002A49D6"/>
    <w:rsid w:val="002A4A55"/>
    <w:rsid w:val="002A4A85"/>
    <w:rsid w:val="002A51A6"/>
    <w:rsid w:val="002A58E3"/>
    <w:rsid w:val="002A5D5C"/>
    <w:rsid w:val="002A6A2D"/>
    <w:rsid w:val="002A6AB2"/>
    <w:rsid w:val="002A767A"/>
    <w:rsid w:val="002A78DC"/>
    <w:rsid w:val="002A7A55"/>
    <w:rsid w:val="002A7CFA"/>
    <w:rsid w:val="002A7D97"/>
    <w:rsid w:val="002B01FF"/>
    <w:rsid w:val="002B035A"/>
    <w:rsid w:val="002B0AC6"/>
    <w:rsid w:val="002B0BB6"/>
    <w:rsid w:val="002B0DF7"/>
    <w:rsid w:val="002B0EDE"/>
    <w:rsid w:val="002B1835"/>
    <w:rsid w:val="002B1A76"/>
    <w:rsid w:val="002B1EB9"/>
    <w:rsid w:val="002B1FB3"/>
    <w:rsid w:val="002B2333"/>
    <w:rsid w:val="002B239A"/>
    <w:rsid w:val="002B23B0"/>
    <w:rsid w:val="002B25A3"/>
    <w:rsid w:val="002B25EE"/>
    <w:rsid w:val="002B27EF"/>
    <w:rsid w:val="002B2B97"/>
    <w:rsid w:val="002B2BA2"/>
    <w:rsid w:val="002B2D96"/>
    <w:rsid w:val="002B2E43"/>
    <w:rsid w:val="002B2EC4"/>
    <w:rsid w:val="002B324F"/>
    <w:rsid w:val="002B3489"/>
    <w:rsid w:val="002B3794"/>
    <w:rsid w:val="002B3876"/>
    <w:rsid w:val="002B3CEC"/>
    <w:rsid w:val="002B3D8F"/>
    <w:rsid w:val="002B4039"/>
    <w:rsid w:val="002B41BF"/>
    <w:rsid w:val="002B438F"/>
    <w:rsid w:val="002B4B10"/>
    <w:rsid w:val="002B4D30"/>
    <w:rsid w:val="002B4E86"/>
    <w:rsid w:val="002B5739"/>
    <w:rsid w:val="002B5E56"/>
    <w:rsid w:val="002B5FA8"/>
    <w:rsid w:val="002B5FE6"/>
    <w:rsid w:val="002B665F"/>
    <w:rsid w:val="002B67F5"/>
    <w:rsid w:val="002B6A23"/>
    <w:rsid w:val="002B6BBA"/>
    <w:rsid w:val="002B6C19"/>
    <w:rsid w:val="002B6D37"/>
    <w:rsid w:val="002B6D8D"/>
    <w:rsid w:val="002B74B9"/>
    <w:rsid w:val="002B7535"/>
    <w:rsid w:val="002B7650"/>
    <w:rsid w:val="002B7874"/>
    <w:rsid w:val="002B7F87"/>
    <w:rsid w:val="002C0106"/>
    <w:rsid w:val="002C0777"/>
    <w:rsid w:val="002C0BAA"/>
    <w:rsid w:val="002C0D4E"/>
    <w:rsid w:val="002C0FE4"/>
    <w:rsid w:val="002C10C3"/>
    <w:rsid w:val="002C144B"/>
    <w:rsid w:val="002C153C"/>
    <w:rsid w:val="002C1589"/>
    <w:rsid w:val="002C18EF"/>
    <w:rsid w:val="002C1D8A"/>
    <w:rsid w:val="002C1F12"/>
    <w:rsid w:val="002C20AF"/>
    <w:rsid w:val="002C255C"/>
    <w:rsid w:val="002C258C"/>
    <w:rsid w:val="002C29CB"/>
    <w:rsid w:val="002C2B71"/>
    <w:rsid w:val="002C2BB4"/>
    <w:rsid w:val="002C3936"/>
    <w:rsid w:val="002C39ED"/>
    <w:rsid w:val="002C3CFF"/>
    <w:rsid w:val="002C406B"/>
    <w:rsid w:val="002C43C9"/>
    <w:rsid w:val="002C4429"/>
    <w:rsid w:val="002C448A"/>
    <w:rsid w:val="002C4A3D"/>
    <w:rsid w:val="002C4C1B"/>
    <w:rsid w:val="002C4D08"/>
    <w:rsid w:val="002C4D80"/>
    <w:rsid w:val="002C5510"/>
    <w:rsid w:val="002C59AD"/>
    <w:rsid w:val="002C5B85"/>
    <w:rsid w:val="002C5BB6"/>
    <w:rsid w:val="002C6474"/>
    <w:rsid w:val="002C6477"/>
    <w:rsid w:val="002C6500"/>
    <w:rsid w:val="002C652F"/>
    <w:rsid w:val="002C6740"/>
    <w:rsid w:val="002C6832"/>
    <w:rsid w:val="002C687D"/>
    <w:rsid w:val="002C697A"/>
    <w:rsid w:val="002C69B0"/>
    <w:rsid w:val="002C6B72"/>
    <w:rsid w:val="002C6E58"/>
    <w:rsid w:val="002C70E9"/>
    <w:rsid w:val="002C7650"/>
    <w:rsid w:val="002C7A3D"/>
    <w:rsid w:val="002C7A48"/>
    <w:rsid w:val="002C7C76"/>
    <w:rsid w:val="002C7FC0"/>
    <w:rsid w:val="002D032C"/>
    <w:rsid w:val="002D04C0"/>
    <w:rsid w:val="002D087A"/>
    <w:rsid w:val="002D0991"/>
    <w:rsid w:val="002D0AD8"/>
    <w:rsid w:val="002D0B63"/>
    <w:rsid w:val="002D103F"/>
    <w:rsid w:val="002D10FC"/>
    <w:rsid w:val="002D158A"/>
    <w:rsid w:val="002D195F"/>
    <w:rsid w:val="002D24DD"/>
    <w:rsid w:val="002D298D"/>
    <w:rsid w:val="002D2F29"/>
    <w:rsid w:val="002D3436"/>
    <w:rsid w:val="002D3665"/>
    <w:rsid w:val="002D380E"/>
    <w:rsid w:val="002D3AE2"/>
    <w:rsid w:val="002D3C90"/>
    <w:rsid w:val="002D3FED"/>
    <w:rsid w:val="002D431D"/>
    <w:rsid w:val="002D4440"/>
    <w:rsid w:val="002D4915"/>
    <w:rsid w:val="002D4CAF"/>
    <w:rsid w:val="002D52D1"/>
    <w:rsid w:val="002D53B8"/>
    <w:rsid w:val="002D548A"/>
    <w:rsid w:val="002D58FF"/>
    <w:rsid w:val="002D5A2C"/>
    <w:rsid w:val="002D5F74"/>
    <w:rsid w:val="002D6098"/>
    <w:rsid w:val="002D6254"/>
    <w:rsid w:val="002D67F9"/>
    <w:rsid w:val="002D68F3"/>
    <w:rsid w:val="002D6A67"/>
    <w:rsid w:val="002D6B49"/>
    <w:rsid w:val="002D6C61"/>
    <w:rsid w:val="002D6CD1"/>
    <w:rsid w:val="002D6CE1"/>
    <w:rsid w:val="002D6CF4"/>
    <w:rsid w:val="002D6F67"/>
    <w:rsid w:val="002D7042"/>
    <w:rsid w:val="002D7265"/>
    <w:rsid w:val="002D7C45"/>
    <w:rsid w:val="002D7DF1"/>
    <w:rsid w:val="002E0185"/>
    <w:rsid w:val="002E0498"/>
    <w:rsid w:val="002E0E82"/>
    <w:rsid w:val="002E0F0D"/>
    <w:rsid w:val="002E1133"/>
    <w:rsid w:val="002E11A7"/>
    <w:rsid w:val="002E182C"/>
    <w:rsid w:val="002E1AE3"/>
    <w:rsid w:val="002E1CA6"/>
    <w:rsid w:val="002E20DC"/>
    <w:rsid w:val="002E26A9"/>
    <w:rsid w:val="002E28B5"/>
    <w:rsid w:val="002E2954"/>
    <w:rsid w:val="002E2DA3"/>
    <w:rsid w:val="002E34F9"/>
    <w:rsid w:val="002E3535"/>
    <w:rsid w:val="002E35DF"/>
    <w:rsid w:val="002E361D"/>
    <w:rsid w:val="002E3AC0"/>
    <w:rsid w:val="002E3BE4"/>
    <w:rsid w:val="002E3C24"/>
    <w:rsid w:val="002E4018"/>
    <w:rsid w:val="002E41F0"/>
    <w:rsid w:val="002E433A"/>
    <w:rsid w:val="002E43F0"/>
    <w:rsid w:val="002E4433"/>
    <w:rsid w:val="002E4F29"/>
    <w:rsid w:val="002E4F70"/>
    <w:rsid w:val="002E507F"/>
    <w:rsid w:val="002E5203"/>
    <w:rsid w:val="002E5660"/>
    <w:rsid w:val="002E5786"/>
    <w:rsid w:val="002E59E3"/>
    <w:rsid w:val="002E5AF0"/>
    <w:rsid w:val="002E5C71"/>
    <w:rsid w:val="002E5CC4"/>
    <w:rsid w:val="002E605C"/>
    <w:rsid w:val="002E611E"/>
    <w:rsid w:val="002E62E0"/>
    <w:rsid w:val="002E676F"/>
    <w:rsid w:val="002E68B4"/>
    <w:rsid w:val="002E6BC0"/>
    <w:rsid w:val="002E6E03"/>
    <w:rsid w:val="002E6EA2"/>
    <w:rsid w:val="002E6ED5"/>
    <w:rsid w:val="002E7639"/>
    <w:rsid w:val="002E78D3"/>
    <w:rsid w:val="002E7B17"/>
    <w:rsid w:val="002E7B36"/>
    <w:rsid w:val="002E7BAC"/>
    <w:rsid w:val="002E7C24"/>
    <w:rsid w:val="002F0394"/>
    <w:rsid w:val="002F0406"/>
    <w:rsid w:val="002F0845"/>
    <w:rsid w:val="002F09F5"/>
    <w:rsid w:val="002F11C5"/>
    <w:rsid w:val="002F1219"/>
    <w:rsid w:val="002F15BC"/>
    <w:rsid w:val="002F1BB6"/>
    <w:rsid w:val="002F1C2A"/>
    <w:rsid w:val="002F1E47"/>
    <w:rsid w:val="002F1F14"/>
    <w:rsid w:val="002F21E1"/>
    <w:rsid w:val="002F2463"/>
    <w:rsid w:val="002F2797"/>
    <w:rsid w:val="002F2B8E"/>
    <w:rsid w:val="002F2C48"/>
    <w:rsid w:val="002F3017"/>
    <w:rsid w:val="002F3092"/>
    <w:rsid w:val="002F32B4"/>
    <w:rsid w:val="002F336F"/>
    <w:rsid w:val="002F35C9"/>
    <w:rsid w:val="002F3DB5"/>
    <w:rsid w:val="002F3F8A"/>
    <w:rsid w:val="002F3FD3"/>
    <w:rsid w:val="002F40D3"/>
    <w:rsid w:val="002F43F3"/>
    <w:rsid w:val="002F470A"/>
    <w:rsid w:val="002F4809"/>
    <w:rsid w:val="002F4BFE"/>
    <w:rsid w:val="002F5478"/>
    <w:rsid w:val="002F54DB"/>
    <w:rsid w:val="002F5599"/>
    <w:rsid w:val="002F5A01"/>
    <w:rsid w:val="002F65A5"/>
    <w:rsid w:val="002F6710"/>
    <w:rsid w:val="002F684B"/>
    <w:rsid w:val="002F6BCD"/>
    <w:rsid w:val="002F6E0B"/>
    <w:rsid w:val="002F7A9B"/>
    <w:rsid w:val="002F7B68"/>
    <w:rsid w:val="00300162"/>
    <w:rsid w:val="003002FB"/>
    <w:rsid w:val="0030052E"/>
    <w:rsid w:val="003007EA"/>
    <w:rsid w:val="00300A5E"/>
    <w:rsid w:val="00300ACB"/>
    <w:rsid w:val="00300F81"/>
    <w:rsid w:val="0030100C"/>
    <w:rsid w:val="00301152"/>
    <w:rsid w:val="00301483"/>
    <w:rsid w:val="00301697"/>
    <w:rsid w:val="003016C0"/>
    <w:rsid w:val="003018B3"/>
    <w:rsid w:val="003019D0"/>
    <w:rsid w:val="00301B5E"/>
    <w:rsid w:val="00301E75"/>
    <w:rsid w:val="00301F21"/>
    <w:rsid w:val="00302363"/>
    <w:rsid w:val="003023CE"/>
    <w:rsid w:val="0030283B"/>
    <w:rsid w:val="00302B96"/>
    <w:rsid w:val="00302C4F"/>
    <w:rsid w:val="00302C96"/>
    <w:rsid w:val="00302C9A"/>
    <w:rsid w:val="003033B0"/>
    <w:rsid w:val="00303673"/>
    <w:rsid w:val="00303AC0"/>
    <w:rsid w:val="00303B55"/>
    <w:rsid w:val="0030493B"/>
    <w:rsid w:val="00304C44"/>
    <w:rsid w:val="00304F85"/>
    <w:rsid w:val="00305B9E"/>
    <w:rsid w:val="00306096"/>
    <w:rsid w:val="00306360"/>
    <w:rsid w:val="003066E4"/>
    <w:rsid w:val="00306747"/>
    <w:rsid w:val="0030682F"/>
    <w:rsid w:val="00306A3F"/>
    <w:rsid w:val="00306A6D"/>
    <w:rsid w:val="00306DE2"/>
    <w:rsid w:val="0030700B"/>
    <w:rsid w:val="003071E4"/>
    <w:rsid w:val="00307314"/>
    <w:rsid w:val="003075BF"/>
    <w:rsid w:val="00307B14"/>
    <w:rsid w:val="00307C04"/>
    <w:rsid w:val="00307CF5"/>
    <w:rsid w:val="00307E4F"/>
    <w:rsid w:val="00310103"/>
    <w:rsid w:val="003103CD"/>
    <w:rsid w:val="003104B4"/>
    <w:rsid w:val="00310784"/>
    <w:rsid w:val="00310870"/>
    <w:rsid w:val="0031091D"/>
    <w:rsid w:val="00310E11"/>
    <w:rsid w:val="00310EE1"/>
    <w:rsid w:val="00310F32"/>
    <w:rsid w:val="003114A8"/>
    <w:rsid w:val="00311547"/>
    <w:rsid w:val="00311599"/>
    <w:rsid w:val="00311614"/>
    <w:rsid w:val="00311884"/>
    <w:rsid w:val="00311AE7"/>
    <w:rsid w:val="00311BF9"/>
    <w:rsid w:val="00311D5D"/>
    <w:rsid w:val="00311F7B"/>
    <w:rsid w:val="0031206D"/>
    <w:rsid w:val="003120AE"/>
    <w:rsid w:val="00312145"/>
    <w:rsid w:val="003121B2"/>
    <w:rsid w:val="00312778"/>
    <w:rsid w:val="003128EB"/>
    <w:rsid w:val="00312B6D"/>
    <w:rsid w:val="00313039"/>
    <w:rsid w:val="00313641"/>
    <w:rsid w:val="00314148"/>
    <w:rsid w:val="0031425B"/>
    <w:rsid w:val="003148A5"/>
    <w:rsid w:val="00314A3D"/>
    <w:rsid w:val="00314E44"/>
    <w:rsid w:val="00314FEE"/>
    <w:rsid w:val="0031502C"/>
    <w:rsid w:val="0031539D"/>
    <w:rsid w:val="003153C0"/>
    <w:rsid w:val="00315B21"/>
    <w:rsid w:val="00315C84"/>
    <w:rsid w:val="00315CBF"/>
    <w:rsid w:val="00315F14"/>
    <w:rsid w:val="00316182"/>
    <w:rsid w:val="003161FA"/>
    <w:rsid w:val="00316356"/>
    <w:rsid w:val="003163FD"/>
    <w:rsid w:val="0031654E"/>
    <w:rsid w:val="00316708"/>
    <w:rsid w:val="0031674D"/>
    <w:rsid w:val="00316864"/>
    <w:rsid w:val="00316A2F"/>
    <w:rsid w:val="003172A6"/>
    <w:rsid w:val="0031733F"/>
    <w:rsid w:val="003173EB"/>
    <w:rsid w:val="00317461"/>
    <w:rsid w:val="00317DE9"/>
    <w:rsid w:val="00317E2E"/>
    <w:rsid w:val="0032064A"/>
    <w:rsid w:val="00320748"/>
    <w:rsid w:val="003208B4"/>
    <w:rsid w:val="003208B9"/>
    <w:rsid w:val="0032095D"/>
    <w:rsid w:val="003209BD"/>
    <w:rsid w:val="00320FF8"/>
    <w:rsid w:val="00321136"/>
    <w:rsid w:val="00321294"/>
    <w:rsid w:val="003214CC"/>
    <w:rsid w:val="0032165B"/>
    <w:rsid w:val="0032186F"/>
    <w:rsid w:val="003219A8"/>
    <w:rsid w:val="00321E0A"/>
    <w:rsid w:val="00321E56"/>
    <w:rsid w:val="00321E71"/>
    <w:rsid w:val="0032221C"/>
    <w:rsid w:val="00322362"/>
    <w:rsid w:val="0032246E"/>
    <w:rsid w:val="0032252E"/>
    <w:rsid w:val="003227C4"/>
    <w:rsid w:val="00322910"/>
    <w:rsid w:val="00322987"/>
    <w:rsid w:val="00322C1A"/>
    <w:rsid w:val="00322EC2"/>
    <w:rsid w:val="00323187"/>
    <w:rsid w:val="003231C9"/>
    <w:rsid w:val="00323305"/>
    <w:rsid w:val="003236AA"/>
    <w:rsid w:val="003238F5"/>
    <w:rsid w:val="0032422B"/>
    <w:rsid w:val="003242F0"/>
    <w:rsid w:val="0032430C"/>
    <w:rsid w:val="00324418"/>
    <w:rsid w:val="00324437"/>
    <w:rsid w:val="00324940"/>
    <w:rsid w:val="00324A20"/>
    <w:rsid w:val="00324CE8"/>
    <w:rsid w:val="00324F35"/>
    <w:rsid w:val="00325389"/>
    <w:rsid w:val="0032552C"/>
    <w:rsid w:val="0032569E"/>
    <w:rsid w:val="00325803"/>
    <w:rsid w:val="00325AFB"/>
    <w:rsid w:val="00325C7F"/>
    <w:rsid w:val="00326091"/>
    <w:rsid w:val="00326211"/>
    <w:rsid w:val="00326B7B"/>
    <w:rsid w:val="00326D51"/>
    <w:rsid w:val="003274C4"/>
    <w:rsid w:val="003279CB"/>
    <w:rsid w:val="00327B7C"/>
    <w:rsid w:val="00327D31"/>
    <w:rsid w:val="0033000F"/>
    <w:rsid w:val="00330094"/>
    <w:rsid w:val="0033024F"/>
    <w:rsid w:val="003303F7"/>
    <w:rsid w:val="00330816"/>
    <w:rsid w:val="0033099A"/>
    <w:rsid w:val="00330A3E"/>
    <w:rsid w:val="00331258"/>
    <w:rsid w:val="0033130A"/>
    <w:rsid w:val="00331455"/>
    <w:rsid w:val="003316E4"/>
    <w:rsid w:val="003316F7"/>
    <w:rsid w:val="003319FC"/>
    <w:rsid w:val="00331B5D"/>
    <w:rsid w:val="00331E42"/>
    <w:rsid w:val="00332195"/>
    <w:rsid w:val="003321A6"/>
    <w:rsid w:val="003322A6"/>
    <w:rsid w:val="003324E8"/>
    <w:rsid w:val="00332DDC"/>
    <w:rsid w:val="003333F9"/>
    <w:rsid w:val="003334E3"/>
    <w:rsid w:val="00333D68"/>
    <w:rsid w:val="00333F2E"/>
    <w:rsid w:val="00334071"/>
    <w:rsid w:val="00334324"/>
    <w:rsid w:val="0033438A"/>
    <w:rsid w:val="0033465B"/>
    <w:rsid w:val="00334975"/>
    <w:rsid w:val="00334ACB"/>
    <w:rsid w:val="00334BF6"/>
    <w:rsid w:val="00335637"/>
    <w:rsid w:val="003356FB"/>
    <w:rsid w:val="00335AF3"/>
    <w:rsid w:val="00335BA5"/>
    <w:rsid w:val="00335C7A"/>
    <w:rsid w:val="00335F72"/>
    <w:rsid w:val="00336054"/>
    <w:rsid w:val="003363DB"/>
    <w:rsid w:val="00336B97"/>
    <w:rsid w:val="00336DE6"/>
    <w:rsid w:val="00336EB5"/>
    <w:rsid w:val="00336F02"/>
    <w:rsid w:val="00337011"/>
    <w:rsid w:val="003377C9"/>
    <w:rsid w:val="00337804"/>
    <w:rsid w:val="00337AF9"/>
    <w:rsid w:val="00337F1F"/>
    <w:rsid w:val="003400B5"/>
    <w:rsid w:val="00340380"/>
    <w:rsid w:val="00341067"/>
    <w:rsid w:val="00341652"/>
    <w:rsid w:val="00341CF1"/>
    <w:rsid w:val="00341F87"/>
    <w:rsid w:val="00342A76"/>
    <w:rsid w:val="00342BBF"/>
    <w:rsid w:val="00342E17"/>
    <w:rsid w:val="00342FD6"/>
    <w:rsid w:val="003437E6"/>
    <w:rsid w:val="00343A3C"/>
    <w:rsid w:val="00343BA5"/>
    <w:rsid w:val="00343D5D"/>
    <w:rsid w:val="00343DE9"/>
    <w:rsid w:val="0034450F"/>
    <w:rsid w:val="00344585"/>
    <w:rsid w:val="0034458B"/>
    <w:rsid w:val="003446E1"/>
    <w:rsid w:val="00344806"/>
    <w:rsid w:val="00344967"/>
    <w:rsid w:val="00344A0C"/>
    <w:rsid w:val="00344A17"/>
    <w:rsid w:val="00344AE2"/>
    <w:rsid w:val="00344B87"/>
    <w:rsid w:val="00344E4B"/>
    <w:rsid w:val="00344F45"/>
    <w:rsid w:val="003450B1"/>
    <w:rsid w:val="003452CF"/>
    <w:rsid w:val="003455EF"/>
    <w:rsid w:val="00345B58"/>
    <w:rsid w:val="00345C57"/>
    <w:rsid w:val="00346783"/>
    <w:rsid w:val="00346AE9"/>
    <w:rsid w:val="00346D49"/>
    <w:rsid w:val="00346EE5"/>
    <w:rsid w:val="003472BF"/>
    <w:rsid w:val="003473CA"/>
    <w:rsid w:val="003473F5"/>
    <w:rsid w:val="0034749A"/>
    <w:rsid w:val="003476FF"/>
    <w:rsid w:val="00347856"/>
    <w:rsid w:val="003478E0"/>
    <w:rsid w:val="003500C4"/>
    <w:rsid w:val="00350102"/>
    <w:rsid w:val="0035025F"/>
    <w:rsid w:val="003505E7"/>
    <w:rsid w:val="00350837"/>
    <w:rsid w:val="00350A6D"/>
    <w:rsid w:val="00350BF6"/>
    <w:rsid w:val="00350DC8"/>
    <w:rsid w:val="0035141F"/>
    <w:rsid w:val="003514B7"/>
    <w:rsid w:val="00351579"/>
    <w:rsid w:val="003516E7"/>
    <w:rsid w:val="003519DE"/>
    <w:rsid w:val="00351DEF"/>
    <w:rsid w:val="0035202A"/>
    <w:rsid w:val="00352109"/>
    <w:rsid w:val="00352127"/>
    <w:rsid w:val="003521D7"/>
    <w:rsid w:val="003522AB"/>
    <w:rsid w:val="00352329"/>
    <w:rsid w:val="0035232F"/>
    <w:rsid w:val="0035299D"/>
    <w:rsid w:val="00352E67"/>
    <w:rsid w:val="0035315D"/>
    <w:rsid w:val="003539B4"/>
    <w:rsid w:val="00353AC9"/>
    <w:rsid w:val="00353C66"/>
    <w:rsid w:val="00353D59"/>
    <w:rsid w:val="00353E3D"/>
    <w:rsid w:val="00353E85"/>
    <w:rsid w:val="00353F52"/>
    <w:rsid w:val="00354074"/>
    <w:rsid w:val="00354591"/>
    <w:rsid w:val="00354C54"/>
    <w:rsid w:val="00354FB1"/>
    <w:rsid w:val="0035513F"/>
    <w:rsid w:val="0035531F"/>
    <w:rsid w:val="0035548F"/>
    <w:rsid w:val="00355713"/>
    <w:rsid w:val="00355CDE"/>
    <w:rsid w:val="00355D12"/>
    <w:rsid w:val="00355D22"/>
    <w:rsid w:val="00356BF8"/>
    <w:rsid w:val="00356D72"/>
    <w:rsid w:val="00356E55"/>
    <w:rsid w:val="00356FCA"/>
    <w:rsid w:val="003572C1"/>
    <w:rsid w:val="003573EC"/>
    <w:rsid w:val="0035794A"/>
    <w:rsid w:val="00357A1D"/>
    <w:rsid w:val="00357AC2"/>
    <w:rsid w:val="00357C84"/>
    <w:rsid w:val="00357D89"/>
    <w:rsid w:val="0036010F"/>
    <w:rsid w:val="0036012B"/>
    <w:rsid w:val="003601B4"/>
    <w:rsid w:val="00360480"/>
    <w:rsid w:val="003609AD"/>
    <w:rsid w:val="00360AC0"/>
    <w:rsid w:val="00360C52"/>
    <w:rsid w:val="00361224"/>
    <w:rsid w:val="0036136A"/>
    <w:rsid w:val="003613FE"/>
    <w:rsid w:val="003615DC"/>
    <w:rsid w:val="0036162C"/>
    <w:rsid w:val="003619A3"/>
    <w:rsid w:val="003621D6"/>
    <w:rsid w:val="0036232C"/>
    <w:rsid w:val="0036291C"/>
    <w:rsid w:val="0036295B"/>
    <w:rsid w:val="00362ADC"/>
    <w:rsid w:val="00362BD9"/>
    <w:rsid w:val="00362E63"/>
    <w:rsid w:val="00363035"/>
    <w:rsid w:val="003630D0"/>
    <w:rsid w:val="003631F5"/>
    <w:rsid w:val="003631FD"/>
    <w:rsid w:val="0036356D"/>
    <w:rsid w:val="0036362F"/>
    <w:rsid w:val="00363866"/>
    <w:rsid w:val="003638D6"/>
    <w:rsid w:val="00363910"/>
    <w:rsid w:val="00363B6C"/>
    <w:rsid w:val="00363E15"/>
    <w:rsid w:val="0036429C"/>
    <w:rsid w:val="003648CF"/>
    <w:rsid w:val="00364A06"/>
    <w:rsid w:val="00364C8F"/>
    <w:rsid w:val="00364CB4"/>
    <w:rsid w:val="00364D9B"/>
    <w:rsid w:val="00364F2E"/>
    <w:rsid w:val="00365068"/>
    <w:rsid w:val="00365148"/>
    <w:rsid w:val="00365280"/>
    <w:rsid w:val="003657BF"/>
    <w:rsid w:val="00365BD1"/>
    <w:rsid w:val="003660F8"/>
    <w:rsid w:val="00366111"/>
    <w:rsid w:val="00366565"/>
    <w:rsid w:val="0036662C"/>
    <w:rsid w:val="003671F1"/>
    <w:rsid w:val="003674A8"/>
    <w:rsid w:val="0036764F"/>
    <w:rsid w:val="00367A35"/>
    <w:rsid w:val="00367A57"/>
    <w:rsid w:val="00370448"/>
    <w:rsid w:val="00370658"/>
    <w:rsid w:val="003709BD"/>
    <w:rsid w:val="00370AB9"/>
    <w:rsid w:val="00370DF7"/>
    <w:rsid w:val="00370E39"/>
    <w:rsid w:val="003715BC"/>
    <w:rsid w:val="003715D1"/>
    <w:rsid w:val="0037160B"/>
    <w:rsid w:val="00371679"/>
    <w:rsid w:val="003717FA"/>
    <w:rsid w:val="00371C16"/>
    <w:rsid w:val="00371DBB"/>
    <w:rsid w:val="00371EE3"/>
    <w:rsid w:val="00372254"/>
    <w:rsid w:val="00372286"/>
    <w:rsid w:val="0037261D"/>
    <w:rsid w:val="003726CF"/>
    <w:rsid w:val="00372AD4"/>
    <w:rsid w:val="00372C76"/>
    <w:rsid w:val="00372EAE"/>
    <w:rsid w:val="003732DF"/>
    <w:rsid w:val="00373AD7"/>
    <w:rsid w:val="003741D8"/>
    <w:rsid w:val="00374309"/>
    <w:rsid w:val="003746E2"/>
    <w:rsid w:val="003746FB"/>
    <w:rsid w:val="00374837"/>
    <w:rsid w:val="00374862"/>
    <w:rsid w:val="0037498F"/>
    <w:rsid w:val="003749FA"/>
    <w:rsid w:val="00374EE0"/>
    <w:rsid w:val="00375880"/>
    <w:rsid w:val="003758A9"/>
    <w:rsid w:val="0037623E"/>
    <w:rsid w:val="0037640A"/>
    <w:rsid w:val="003769A9"/>
    <w:rsid w:val="00376C60"/>
    <w:rsid w:val="00376E01"/>
    <w:rsid w:val="00376F7B"/>
    <w:rsid w:val="00376FAE"/>
    <w:rsid w:val="00377073"/>
    <w:rsid w:val="00377179"/>
    <w:rsid w:val="003772C4"/>
    <w:rsid w:val="00377607"/>
    <w:rsid w:val="0037792A"/>
    <w:rsid w:val="0037794D"/>
    <w:rsid w:val="00377AB5"/>
    <w:rsid w:val="00377E86"/>
    <w:rsid w:val="00377E8D"/>
    <w:rsid w:val="003804E9"/>
    <w:rsid w:val="003809A7"/>
    <w:rsid w:val="00380CA0"/>
    <w:rsid w:val="00381132"/>
    <w:rsid w:val="003812DC"/>
    <w:rsid w:val="00381319"/>
    <w:rsid w:val="003813B2"/>
    <w:rsid w:val="00381603"/>
    <w:rsid w:val="00381608"/>
    <w:rsid w:val="003818E8"/>
    <w:rsid w:val="003822DE"/>
    <w:rsid w:val="003822F6"/>
    <w:rsid w:val="00382422"/>
    <w:rsid w:val="00383079"/>
    <w:rsid w:val="003832B0"/>
    <w:rsid w:val="003838E2"/>
    <w:rsid w:val="00383B8B"/>
    <w:rsid w:val="00383DFF"/>
    <w:rsid w:val="00383E5C"/>
    <w:rsid w:val="00383EB8"/>
    <w:rsid w:val="003842CE"/>
    <w:rsid w:val="003847B9"/>
    <w:rsid w:val="00384811"/>
    <w:rsid w:val="00384988"/>
    <w:rsid w:val="00384A4E"/>
    <w:rsid w:val="00385023"/>
    <w:rsid w:val="0038518C"/>
    <w:rsid w:val="003854B1"/>
    <w:rsid w:val="003858DA"/>
    <w:rsid w:val="00385B6E"/>
    <w:rsid w:val="00385ED5"/>
    <w:rsid w:val="0038638F"/>
    <w:rsid w:val="0038697F"/>
    <w:rsid w:val="00386E90"/>
    <w:rsid w:val="00386F7C"/>
    <w:rsid w:val="0038758E"/>
    <w:rsid w:val="00387600"/>
    <w:rsid w:val="003876E6"/>
    <w:rsid w:val="00387990"/>
    <w:rsid w:val="00387A0F"/>
    <w:rsid w:val="00387A67"/>
    <w:rsid w:val="00387B42"/>
    <w:rsid w:val="00387E83"/>
    <w:rsid w:val="00387EA6"/>
    <w:rsid w:val="00387F41"/>
    <w:rsid w:val="0039016E"/>
    <w:rsid w:val="003902BB"/>
    <w:rsid w:val="0039075B"/>
    <w:rsid w:val="00390804"/>
    <w:rsid w:val="00390B73"/>
    <w:rsid w:val="00390D0F"/>
    <w:rsid w:val="00390D4F"/>
    <w:rsid w:val="00391171"/>
    <w:rsid w:val="00391580"/>
    <w:rsid w:val="0039176B"/>
    <w:rsid w:val="00391A92"/>
    <w:rsid w:val="00391D87"/>
    <w:rsid w:val="00391ED7"/>
    <w:rsid w:val="00391F46"/>
    <w:rsid w:val="0039224A"/>
    <w:rsid w:val="00392493"/>
    <w:rsid w:val="00392E7B"/>
    <w:rsid w:val="00392FE5"/>
    <w:rsid w:val="0039307F"/>
    <w:rsid w:val="00393334"/>
    <w:rsid w:val="00393487"/>
    <w:rsid w:val="003936EC"/>
    <w:rsid w:val="00393872"/>
    <w:rsid w:val="00393BB9"/>
    <w:rsid w:val="003941FF"/>
    <w:rsid w:val="003947C1"/>
    <w:rsid w:val="00394A01"/>
    <w:rsid w:val="00394A63"/>
    <w:rsid w:val="00394B83"/>
    <w:rsid w:val="00394C18"/>
    <w:rsid w:val="00394C5F"/>
    <w:rsid w:val="00394F26"/>
    <w:rsid w:val="0039519F"/>
    <w:rsid w:val="0039598B"/>
    <w:rsid w:val="00395A7B"/>
    <w:rsid w:val="00395FCF"/>
    <w:rsid w:val="0039614E"/>
    <w:rsid w:val="003962BE"/>
    <w:rsid w:val="003962CD"/>
    <w:rsid w:val="00396369"/>
    <w:rsid w:val="0039641F"/>
    <w:rsid w:val="0039656D"/>
    <w:rsid w:val="00396650"/>
    <w:rsid w:val="003968AD"/>
    <w:rsid w:val="00396D6D"/>
    <w:rsid w:val="003972DC"/>
    <w:rsid w:val="0039738E"/>
    <w:rsid w:val="003973EE"/>
    <w:rsid w:val="00397565"/>
    <w:rsid w:val="00397973"/>
    <w:rsid w:val="00397B32"/>
    <w:rsid w:val="00397FD7"/>
    <w:rsid w:val="003A02D8"/>
    <w:rsid w:val="003A0500"/>
    <w:rsid w:val="003A05C2"/>
    <w:rsid w:val="003A05D8"/>
    <w:rsid w:val="003A079D"/>
    <w:rsid w:val="003A0F04"/>
    <w:rsid w:val="003A128F"/>
    <w:rsid w:val="003A13E9"/>
    <w:rsid w:val="003A165C"/>
    <w:rsid w:val="003A171F"/>
    <w:rsid w:val="003A1774"/>
    <w:rsid w:val="003A1B6C"/>
    <w:rsid w:val="003A1BD9"/>
    <w:rsid w:val="003A1CC3"/>
    <w:rsid w:val="003A1D3F"/>
    <w:rsid w:val="003A21F3"/>
    <w:rsid w:val="003A24E8"/>
    <w:rsid w:val="003A26C1"/>
    <w:rsid w:val="003A2708"/>
    <w:rsid w:val="003A2912"/>
    <w:rsid w:val="003A2C8F"/>
    <w:rsid w:val="003A37A4"/>
    <w:rsid w:val="003A41B2"/>
    <w:rsid w:val="003A48A2"/>
    <w:rsid w:val="003A48C2"/>
    <w:rsid w:val="003A4E42"/>
    <w:rsid w:val="003A5010"/>
    <w:rsid w:val="003A5E70"/>
    <w:rsid w:val="003A6213"/>
    <w:rsid w:val="003A6232"/>
    <w:rsid w:val="003A655D"/>
    <w:rsid w:val="003A660E"/>
    <w:rsid w:val="003A6A10"/>
    <w:rsid w:val="003A6A61"/>
    <w:rsid w:val="003A6B56"/>
    <w:rsid w:val="003A73E1"/>
    <w:rsid w:val="003A7541"/>
    <w:rsid w:val="003A7E6C"/>
    <w:rsid w:val="003A7FF8"/>
    <w:rsid w:val="003B03CD"/>
    <w:rsid w:val="003B0D9F"/>
    <w:rsid w:val="003B0DE8"/>
    <w:rsid w:val="003B0E82"/>
    <w:rsid w:val="003B0F16"/>
    <w:rsid w:val="003B1050"/>
    <w:rsid w:val="003B1383"/>
    <w:rsid w:val="003B1515"/>
    <w:rsid w:val="003B16D4"/>
    <w:rsid w:val="003B1769"/>
    <w:rsid w:val="003B1783"/>
    <w:rsid w:val="003B1A3F"/>
    <w:rsid w:val="003B1F3F"/>
    <w:rsid w:val="003B1F6D"/>
    <w:rsid w:val="003B2044"/>
    <w:rsid w:val="003B2269"/>
    <w:rsid w:val="003B254B"/>
    <w:rsid w:val="003B2720"/>
    <w:rsid w:val="003B2745"/>
    <w:rsid w:val="003B2911"/>
    <w:rsid w:val="003B29F9"/>
    <w:rsid w:val="003B2C8F"/>
    <w:rsid w:val="003B2F8C"/>
    <w:rsid w:val="003B35D3"/>
    <w:rsid w:val="003B35F2"/>
    <w:rsid w:val="003B37EB"/>
    <w:rsid w:val="003B382C"/>
    <w:rsid w:val="003B3B4D"/>
    <w:rsid w:val="003B3BED"/>
    <w:rsid w:val="003B423C"/>
    <w:rsid w:val="003B45C3"/>
    <w:rsid w:val="003B4675"/>
    <w:rsid w:val="003B46D4"/>
    <w:rsid w:val="003B490E"/>
    <w:rsid w:val="003B4981"/>
    <w:rsid w:val="003B5119"/>
    <w:rsid w:val="003B51A0"/>
    <w:rsid w:val="003B56A7"/>
    <w:rsid w:val="003B5E38"/>
    <w:rsid w:val="003B639D"/>
    <w:rsid w:val="003B63B5"/>
    <w:rsid w:val="003B6608"/>
    <w:rsid w:val="003B6757"/>
    <w:rsid w:val="003B6939"/>
    <w:rsid w:val="003B6AE5"/>
    <w:rsid w:val="003B6CAC"/>
    <w:rsid w:val="003B6CFE"/>
    <w:rsid w:val="003B6ECF"/>
    <w:rsid w:val="003B713C"/>
    <w:rsid w:val="003B72ED"/>
    <w:rsid w:val="003B7952"/>
    <w:rsid w:val="003B7B47"/>
    <w:rsid w:val="003B7E10"/>
    <w:rsid w:val="003C00C3"/>
    <w:rsid w:val="003C0375"/>
    <w:rsid w:val="003C0470"/>
    <w:rsid w:val="003C055E"/>
    <w:rsid w:val="003C0BF5"/>
    <w:rsid w:val="003C0C18"/>
    <w:rsid w:val="003C0D91"/>
    <w:rsid w:val="003C0E46"/>
    <w:rsid w:val="003C0F75"/>
    <w:rsid w:val="003C10E5"/>
    <w:rsid w:val="003C147F"/>
    <w:rsid w:val="003C17BC"/>
    <w:rsid w:val="003C190E"/>
    <w:rsid w:val="003C19E6"/>
    <w:rsid w:val="003C1C13"/>
    <w:rsid w:val="003C1D31"/>
    <w:rsid w:val="003C1D73"/>
    <w:rsid w:val="003C200C"/>
    <w:rsid w:val="003C239B"/>
    <w:rsid w:val="003C2A7B"/>
    <w:rsid w:val="003C301F"/>
    <w:rsid w:val="003C30E0"/>
    <w:rsid w:val="003C3628"/>
    <w:rsid w:val="003C3832"/>
    <w:rsid w:val="003C3B9A"/>
    <w:rsid w:val="003C3BC5"/>
    <w:rsid w:val="003C3C22"/>
    <w:rsid w:val="003C3D6B"/>
    <w:rsid w:val="003C434B"/>
    <w:rsid w:val="003C4460"/>
    <w:rsid w:val="003C446C"/>
    <w:rsid w:val="003C44E7"/>
    <w:rsid w:val="003C44E9"/>
    <w:rsid w:val="003C45DD"/>
    <w:rsid w:val="003C4880"/>
    <w:rsid w:val="003C4A63"/>
    <w:rsid w:val="003C4B27"/>
    <w:rsid w:val="003C4D27"/>
    <w:rsid w:val="003C4D83"/>
    <w:rsid w:val="003C4EE8"/>
    <w:rsid w:val="003C5144"/>
    <w:rsid w:val="003C5589"/>
    <w:rsid w:val="003C567D"/>
    <w:rsid w:val="003C60AF"/>
    <w:rsid w:val="003C63DC"/>
    <w:rsid w:val="003C6576"/>
    <w:rsid w:val="003C6583"/>
    <w:rsid w:val="003C67FE"/>
    <w:rsid w:val="003C6808"/>
    <w:rsid w:val="003C6A21"/>
    <w:rsid w:val="003C6BB6"/>
    <w:rsid w:val="003C6DBD"/>
    <w:rsid w:val="003C6DD4"/>
    <w:rsid w:val="003C6F89"/>
    <w:rsid w:val="003C71F7"/>
    <w:rsid w:val="003C72B5"/>
    <w:rsid w:val="003C751E"/>
    <w:rsid w:val="003C7634"/>
    <w:rsid w:val="003D00B2"/>
    <w:rsid w:val="003D0498"/>
    <w:rsid w:val="003D0646"/>
    <w:rsid w:val="003D08DE"/>
    <w:rsid w:val="003D0A66"/>
    <w:rsid w:val="003D0E76"/>
    <w:rsid w:val="003D0EE1"/>
    <w:rsid w:val="003D11AE"/>
    <w:rsid w:val="003D1893"/>
    <w:rsid w:val="003D18B0"/>
    <w:rsid w:val="003D1B5C"/>
    <w:rsid w:val="003D1C4D"/>
    <w:rsid w:val="003D25D2"/>
    <w:rsid w:val="003D2C5B"/>
    <w:rsid w:val="003D2F9E"/>
    <w:rsid w:val="003D32AF"/>
    <w:rsid w:val="003D342F"/>
    <w:rsid w:val="003D345C"/>
    <w:rsid w:val="003D3932"/>
    <w:rsid w:val="003D3981"/>
    <w:rsid w:val="003D3A89"/>
    <w:rsid w:val="003D3D55"/>
    <w:rsid w:val="003D3F8C"/>
    <w:rsid w:val="003D3FA9"/>
    <w:rsid w:val="003D411B"/>
    <w:rsid w:val="003D4134"/>
    <w:rsid w:val="003D4577"/>
    <w:rsid w:val="003D45C7"/>
    <w:rsid w:val="003D4786"/>
    <w:rsid w:val="003D4C36"/>
    <w:rsid w:val="003D4D4A"/>
    <w:rsid w:val="003D4F87"/>
    <w:rsid w:val="003D5060"/>
    <w:rsid w:val="003D509A"/>
    <w:rsid w:val="003D50E0"/>
    <w:rsid w:val="003D516E"/>
    <w:rsid w:val="003D51C7"/>
    <w:rsid w:val="003D56E5"/>
    <w:rsid w:val="003D573E"/>
    <w:rsid w:val="003D5888"/>
    <w:rsid w:val="003D5AAE"/>
    <w:rsid w:val="003D5F2F"/>
    <w:rsid w:val="003D6185"/>
    <w:rsid w:val="003D6D8C"/>
    <w:rsid w:val="003D7535"/>
    <w:rsid w:val="003D78FB"/>
    <w:rsid w:val="003D798E"/>
    <w:rsid w:val="003D7FA5"/>
    <w:rsid w:val="003E0317"/>
    <w:rsid w:val="003E03A7"/>
    <w:rsid w:val="003E0510"/>
    <w:rsid w:val="003E0868"/>
    <w:rsid w:val="003E0CC5"/>
    <w:rsid w:val="003E0D31"/>
    <w:rsid w:val="003E0D76"/>
    <w:rsid w:val="003E1BA7"/>
    <w:rsid w:val="003E1D35"/>
    <w:rsid w:val="003E1EE6"/>
    <w:rsid w:val="003E20CC"/>
    <w:rsid w:val="003E23A6"/>
    <w:rsid w:val="003E2A12"/>
    <w:rsid w:val="003E2B0E"/>
    <w:rsid w:val="003E2CD8"/>
    <w:rsid w:val="003E2DD8"/>
    <w:rsid w:val="003E389A"/>
    <w:rsid w:val="003E39F3"/>
    <w:rsid w:val="003E3B03"/>
    <w:rsid w:val="003E3B99"/>
    <w:rsid w:val="003E3F2F"/>
    <w:rsid w:val="003E4020"/>
    <w:rsid w:val="003E419D"/>
    <w:rsid w:val="003E4211"/>
    <w:rsid w:val="003E43E0"/>
    <w:rsid w:val="003E464F"/>
    <w:rsid w:val="003E488E"/>
    <w:rsid w:val="003E4A37"/>
    <w:rsid w:val="003E4B5A"/>
    <w:rsid w:val="003E4BB8"/>
    <w:rsid w:val="003E4C85"/>
    <w:rsid w:val="003E4F5D"/>
    <w:rsid w:val="003E514C"/>
    <w:rsid w:val="003E53D1"/>
    <w:rsid w:val="003E5B73"/>
    <w:rsid w:val="003E5CB3"/>
    <w:rsid w:val="003E5F68"/>
    <w:rsid w:val="003E624E"/>
    <w:rsid w:val="003E64C8"/>
    <w:rsid w:val="003E6BD0"/>
    <w:rsid w:val="003E7264"/>
    <w:rsid w:val="003E73AB"/>
    <w:rsid w:val="003E73DA"/>
    <w:rsid w:val="003E7863"/>
    <w:rsid w:val="003E7920"/>
    <w:rsid w:val="003E7E58"/>
    <w:rsid w:val="003F0600"/>
    <w:rsid w:val="003F08C8"/>
    <w:rsid w:val="003F08CE"/>
    <w:rsid w:val="003F09B2"/>
    <w:rsid w:val="003F0A2A"/>
    <w:rsid w:val="003F0C1E"/>
    <w:rsid w:val="003F0C88"/>
    <w:rsid w:val="003F0F9F"/>
    <w:rsid w:val="003F0FA7"/>
    <w:rsid w:val="003F1419"/>
    <w:rsid w:val="003F16E1"/>
    <w:rsid w:val="003F1983"/>
    <w:rsid w:val="003F19A4"/>
    <w:rsid w:val="003F19C2"/>
    <w:rsid w:val="003F1A97"/>
    <w:rsid w:val="003F1E11"/>
    <w:rsid w:val="003F1EED"/>
    <w:rsid w:val="003F1F1F"/>
    <w:rsid w:val="003F23A8"/>
    <w:rsid w:val="003F264D"/>
    <w:rsid w:val="003F2A9A"/>
    <w:rsid w:val="003F2B45"/>
    <w:rsid w:val="003F2E21"/>
    <w:rsid w:val="003F3232"/>
    <w:rsid w:val="003F32CB"/>
    <w:rsid w:val="003F36EC"/>
    <w:rsid w:val="003F38D3"/>
    <w:rsid w:val="003F3934"/>
    <w:rsid w:val="003F3A0D"/>
    <w:rsid w:val="003F3A98"/>
    <w:rsid w:val="003F3DBF"/>
    <w:rsid w:val="003F41E1"/>
    <w:rsid w:val="003F4496"/>
    <w:rsid w:val="003F45AB"/>
    <w:rsid w:val="003F477C"/>
    <w:rsid w:val="003F48F2"/>
    <w:rsid w:val="003F4C67"/>
    <w:rsid w:val="003F4D3C"/>
    <w:rsid w:val="003F504B"/>
    <w:rsid w:val="003F52B9"/>
    <w:rsid w:val="003F559B"/>
    <w:rsid w:val="003F57A1"/>
    <w:rsid w:val="003F5ABD"/>
    <w:rsid w:val="003F5C36"/>
    <w:rsid w:val="003F5CF9"/>
    <w:rsid w:val="003F5F1D"/>
    <w:rsid w:val="003F603B"/>
    <w:rsid w:val="003F6997"/>
    <w:rsid w:val="003F69CF"/>
    <w:rsid w:val="003F6EA6"/>
    <w:rsid w:val="003F7179"/>
    <w:rsid w:val="003F7FF9"/>
    <w:rsid w:val="00400036"/>
    <w:rsid w:val="004000DF"/>
    <w:rsid w:val="0040018A"/>
    <w:rsid w:val="004001A7"/>
    <w:rsid w:val="0040040F"/>
    <w:rsid w:val="00400612"/>
    <w:rsid w:val="004008B3"/>
    <w:rsid w:val="004009B9"/>
    <w:rsid w:val="00400AF9"/>
    <w:rsid w:val="00400B3A"/>
    <w:rsid w:val="00400DF5"/>
    <w:rsid w:val="004014DB"/>
    <w:rsid w:val="00401653"/>
    <w:rsid w:val="00401AD3"/>
    <w:rsid w:val="00401F2C"/>
    <w:rsid w:val="0040200B"/>
    <w:rsid w:val="004021E5"/>
    <w:rsid w:val="00402403"/>
    <w:rsid w:val="00402503"/>
    <w:rsid w:val="004027A3"/>
    <w:rsid w:val="00402868"/>
    <w:rsid w:val="004028FE"/>
    <w:rsid w:val="00402E5A"/>
    <w:rsid w:val="00402E98"/>
    <w:rsid w:val="00402EEA"/>
    <w:rsid w:val="00403051"/>
    <w:rsid w:val="004030E5"/>
    <w:rsid w:val="0040372D"/>
    <w:rsid w:val="00403A78"/>
    <w:rsid w:val="00403B61"/>
    <w:rsid w:val="00403CFE"/>
    <w:rsid w:val="00404096"/>
    <w:rsid w:val="00404133"/>
    <w:rsid w:val="00404336"/>
    <w:rsid w:val="00404533"/>
    <w:rsid w:val="0040457A"/>
    <w:rsid w:val="0040469C"/>
    <w:rsid w:val="004046BB"/>
    <w:rsid w:val="004047A1"/>
    <w:rsid w:val="0040494C"/>
    <w:rsid w:val="00405013"/>
    <w:rsid w:val="004051AD"/>
    <w:rsid w:val="0040551F"/>
    <w:rsid w:val="004056E0"/>
    <w:rsid w:val="004059C9"/>
    <w:rsid w:val="004065B2"/>
    <w:rsid w:val="00406B72"/>
    <w:rsid w:val="00406BF1"/>
    <w:rsid w:val="00407116"/>
    <w:rsid w:val="004075A5"/>
    <w:rsid w:val="00407C96"/>
    <w:rsid w:val="004100E0"/>
    <w:rsid w:val="0041036E"/>
    <w:rsid w:val="0041037D"/>
    <w:rsid w:val="00410381"/>
    <w:rsid w:val="00410479"/>
    <w:rsid w:val="00410549"/>
    <w:rsid w:val="00410772"/>
    <w:rsid w:val="00411985"/>
    <w:rsid w:val="00411B0E"/>
    <w:rsid w:val="0041219B"/>
    <w:rsid w:val="0041222D"/>
    <w:rsid w:val="0041241B"/>
    <w:rsid w:val="00412480"/>
    <w:rsid w:val="00412545"/>
    <w:rsid w:val="00412836"/>
    <w:rsid w:val="00412DF9"/>
    <w:rsid w:val="0041301F"/>
    <w:rsid w:val="004130BB"/>
    <w:rsid w:val="00413356"/>
    <w:rsid w:val="004133F5"/>
    <w:rsid w:val="00413913"/>
    <w:rsid w:val="00413B01"/>
    <w:rsid w:val="00413B8B"/>
    <w:rsid w:val="00413C84"/>
    <w:rsid w:val="00413FF6"/>
    <w:rsid w:val="00414095"/>
    <w:rsid w:val="0041425F"/>
    <w:rsid w:val="00414644"/>
    <w:rsid w:val="0041472B"/>
    <w:rsid w:val="004148B8"/>
    <w:rsid w:val="0041543F"/>
    <w:rsid w:val="004157CD"/>
    <w:rsid w:val="00415B24"/>
    <w:rsid w:val="00415FE7"/>
    <w:rsid w:val="00416048"/>
    <w:rsid w:val="0041604B"/>
    <w:rsid w:val="004162F6"/>
    <w:rsid w:val="0041637F"/>
    <w:rsid w:val="004163AB"/>
    <w:rsid w:val="004163CB"/>
    <w:rsid w:val="0041688F"/>
    <w:rsid w:val="00416960"/>
    <w:rsid w:val="00416AA0"/>
    <w:rsid w:val="00416EFA"/>
    <w:rsid w:val="00417584"/>
    <w:rsid w:val="00417706"/>
    <w:rsid w:val="00417C5A"/>
    <w:rsid w:val="00417C80"/>
    <w:rsid w:val="00417E68"/>
    <w:rsid w:val="00417FA2"/>
    <w:rsid w:val="00420631"/>
    <w:rsid w:val="004207BB"/>
    <w:rsid w:val="0042098B"/>
    <w:rsid w:val="00420DF8"/>
    <w:rsid w:val="0042122B"/>
    <w:rsid w:val="004213BD"/>
    <w:rsid w:val="00421967"/>
    <w:rsid w:val="00421999"/>
    <w:rsid w:val="00421B21"/>
    <w:rsid w:val="00421B9F"/>
    <w:rsid w:val="00421D1E"/>
    <w:rsid w:val="00421E88"/>
    <w:rsid w:val="00421F2E"/>
    <w:rsid w:val="00421F3D"/>
    <w:rsid w:val="00421FE3"/>
    <w:rsid w:val="0042225D"/>
    <w:rsid w:val="00422885"/>
    <w:rsid w:val="00422A43"/>
    <w:rsid w:val="0042338B"/>
    <w:rsid w:val="004235EA"/>
    <w:rsid w:val="00423629"/>
    <w:rsid w:val="00423710"/>
    <w:rsid w:val="0042371B"/>
    <w:rsid w:val="00423874"/>
    <w:rsid w:val="00423C6B"/>
    <w:rsid w:val="004241D7"/>
    <w:rsid w:val="0042423A"/>
    <w:rsid w:val="004242C8"/>
    <w:rsid w:val="004243B3"/>
    <w:rsid w:val="0042464C"/>
    <w:rsid w:val="00424700"/>
    <w:rsid w:val="0042478F"/>
    <w:rsid w:val="0042486C"/>
    <w:rsid w:val="004248C3"/>
    <w:rsid w:val="00424984"/>
    <w:rsid w:val="00424DB8"/>
    <w:rsid w:val="00424F3F"/>
    <w:rsid w:val="00424F5F"/>
    <w:rsid w:val="00425571"/>
    <w:rsid w:val="00425D42"/>
    <w:rsid w:val="00425F13"/>
    <w:rsid w:val="00426416"/>
    <w:rsid w:val="004265B6"/>
    <w:rsid w:val="004267DB"/>
    <w:rsid w:val="004268BC"/>
    <w:rsid w:val="004268ED"/>
    <w:rsid w:val="00426D5F"/>
    <w:rsid w:val="00426F20"/>
    <w:rsid w:val="00427260"/>
    <w:rsid w:val="004273DD"/>
    <w:rsid w:val="00427465"/>
    <w:rsid w:val="00427AC6"/>
    <w:rsid w:val="00427C16"/>
    <w:rsid w:val="0043017E"/>
    <w:rsid w:val="0043020D"/>
    <w:rsid w:val="004304D0"/>
    <w:rsid w:val="00430799"/>
    <w:rsid w:val="004308D9"/>
    <w:rsid w:val="00430988"/>
    <w:rsid w:val="00430D85"/>
    <w:rsid w:val="0043104F"/>
    <w:rsid w:val="004310CF"/>
    <w:rsid w:val="004312B9"/>
    <w:rsid w:val="0043136D"/>
    <w:rsid w:val="0043194F"/>
    <w:rsid w:val="00431D8D"/>
    <w:rsid w:val="00431EB2"/>
    <w:rsid w:val="00431F2D"/>
    <w:rsid w:val="0043210A"/>
    <w:rsid w:val="0043213B"/>
    <w:rsid w:val="004321FE"/>
    <w:rsid w:val="00432301"/>
    <w:rsid w:val="00432624"/>
    <w:rsid w:val="00432E95"/>
    <w:rsid w:val="00432EF3"/>
    <w:rsid w:val="00432FA9"/>
    <w:rsid w:val="00433167"/>
    <w:rsid w:val="00433291"/>
    <w:rsid w:val="00433717"/>
    <w:rsid w:val="004339F9"/>
    <w:rsid w:val="00433FD7"/>
    <w:rsid w:val="004346BF"/>
    <w:rsid w:val="00434B6C"/>
    <w:rsid w:val="00434B96"/>
    <w:rsid w:val="00434DD3"/>
    <w:rsid w:val="00435910"/>
    <w:rsid w:val="00435A7F"/>
    <w:rsid w:val="00435AE5"/>
    <w:rsid w:val="00435C58"/>
    <w:rsid w:val="00435E2A"/>
    <w:rsid w:val="00436190"/>
    <w:rsid w:val="00436284"/>
    <w:rsid w:val="004367DB"/>
    <w:rsid w:val="00436C10"/>
    <w:rsid w:val="00436D3E"/>
    <w:rsid w:val="00436D9F"/>
    <w:rsid w:val="004370D7"/>
    <w:rsid w:val="00437D96"/>
    <w:rsid w:val="00440176"/>
    <w:rsid w:val="004401B4"/>
    <w:rsid w:val="00440366"/>
    <w:rsid w:val="004404BC"/>
    <w:rsid w:val="004405EB"/>
    <w:rsid w:val="00440774"/>
    <w:rsid w:val="00440ABD"/>
    <w:rsid w:val="00440AE9"/>
    <w:rsid w:val="00440F59"/>
    <w:rsid w:val="004416AD"/>
    <w:rsid w:val="00441938"/>
    <w:rsid w:val="00441B8B"/>
    <w:rsid w:val="00441D9E"/>
    <w:rsid w:val="00441DD4"/>
    <w:rsid w:val="00441E4F"/>
    <w:rsid w:val="00441F64"/>
    <w:rsid w:val="00442260"/>
    <w:rsid w:val="004425DC"/>
    <w:rsid w:val="004432CC"/>
    <w:rsid w:val="00443515"/>
    <w:rsid w:val="00443625"/>
    <w:rsid w:val="0044380D"/>
    <w:rsid w:val="004438C1"/>
    <w:rsid w:val="004444DE"/>
    <w:rsid w:val="0044481E"/>
    <w:rsid w:val="0044483B"/>
    <w:rsid w:val="004448B4"/>
    <w:rsid w:val="0044491C"/>
    <w:rsid w:val="00444AF4"/>
    <w:rsid w:val="00445192"/>
    <w:rsid w:val="0044545E"/>
    <w:rsid w:val="004461C5"/>
    <w:rsid w:val="0044634B"/>
    <w:rsid w:val="00446630"/>
    <w:rsid w:val="00446815"/>
    <w:rsid w:val="00446862"/>
    <w:rsid w:val="00446915"/>
    <w:rsid w:val="00446945"/>
    <w:rsid w:val="00446ACA"/>
    <w:rsid w:val="00446B21"/>
    <w:rsid w:val="00446EB3"/>
    <w:rsid w:val="0044728D"/>
    <w:rsid w:val="004477A4"/>
    <w:rsid w:val="00450846"/>
    <w:rsid w:val="004509DA"/>
    <w:rsid w:val="00450A05"/>
    <w:rsid w:val="00450A8D"/>
    <w:rsid w:val="00450A95"/>
    <w:rsid w:val="00451039"/>
    <w:rsid w:val="004517C2"/>
    <w:rsid w:val="00451835"/>
    <w:rsid w:val="0045197F"/>
    <w:rsid w:val="00451A21"/>
    <w:rsid w:val="00451BA7"/>
    <w:rsid w:val="004520EE"/>
    <w:rsid w:val="00452185"/>
    <w:rsid w:val="004522A0"/>
    <w:rsid w:val="004522C2"/>
    <w:rsid w:val="00452391"/>
    <w:rsid w:val="0045287D"/>
    <w:rsid w:val="004529E0"/>
    <w:rsid w:val="00452BE5"/>
    <w:rsid w:val="00452E3C"/>
    <w:rsid w:val="00452E4D"/>
    <w:rsid w:val="00453988"/>
    <w:rsid w:val="00453A77"/>
    <w:rsid w:val="00453EF0"/>
    <w:rsid w:val="004543EF"/>
    <w:rsid w:val="004544DD"/>
    <w:rsid w:val="004547AE"/>
    <w:rsid w:val="00454D7D"/>
    <w:rsid w:val="004552F4"/>
    <w:rsid w:val="00455583"/>
    <w:rsid w:val="004556DD"/>
    <w:rsid w:val="004557D8"/>
    <w:rsid w:val="00455830"/>
    <w:rsid w:val="00455854"/>
    <w:rsid w:val="00455D67"/>
    <w:rsid w:val="00455DFD"/>
    <w:rsid w:val="00455F20"/>
    <w:rsid w:val="004560D6"/>
    <w:rsid w:val="004569E7"/>
    <w:rsid w:val="00456D8D"/>
    <w:rsid w:val="004572E0"/>
    <w:rsid w:val="00457497"/>
    <w:rsid w:val="004574B9"/>
    <w:rsid w:val="004576C0"/>
    <w:rsid w:val="004578F1"/>
    <w:rsid w:val="00457CAA"/>
    <w:rsid w:val="00457EB7"/>
    <w:rsid w:val="00460215"/>
    <w:rsid w:val="004602CF"/>
    <w:rsid w:val="00460314"/>
    <w:rsid w:val="00460667"/>
    <w:rsid w:val="0046119B"/>
    <w:rsid w:val="004612B2"/>
    <w:rsid w:val="0046140B"/>
    <w:rsid w:val="00461431"/>
    <w:rsid w:val="004619AB"/>
    <w:rsid w:val="00461CB4"/>
    <w:rsid w:val="00461EE9"/>
    <w:rsid w:val="00462417"/>
    <w:rsid w:val="00462915"/>
    <w:rsid w:val="00462AD7"/>
    <w:rsid w:val="00462B44"/>
    <w:rsid w:val="00462BF2"/>
    <w:rsid w:val="00462FCB"/>
    <w:rsid w:val="004630D5"/>
    <w:rsid w:val="00463178"/>
    <w:rsid w:val="0046319E"/>
    <w:rsid w:val="0046329D"/>
    <w:rsid w:val="00464222"/>
    <w:rsid w:val="004643C0"/>
    <w:rsid w:val="0046455A"/>
    <w:rsid w:val="004645A0"/>
    <w:rsid w:val="0046460C"/>
    <w:rsid w:val="00464A44"/>
    <w:rsid w:val="00464C91"/>
    <w:rsid w:val="004650A9"/>
    <w:rsid w:val="00465333"/>
    <w:rsid w:val="004659C0"/>
    <w:rsid w:val="00465BEB"/>
    <w:rsid w:val="00465E45"/>
    <w:rsid w:val="00465E98"/>
    <w:rsid w:val="0046646C"/>
    <w:rsid w:val="0046655B"/>
    <w:rsid w:val="00466B79"/>
    <w:rsid w:val="00466BC3"/>
    <w:rsid w:val="00466C30"/>
    <w:rsid w:val="00466ED6"/>
    <w:rsid w:val="00467256"/>
    <w:rsid w:val="00467506"/>
    <w:rsid w:val="0046760A"/>
    <w:rsid w:val="004677DD"/>
    <w:rsid w:val="00467930"/>
    <w:rsid w:val="00467AC7"/>
    <w:rsid w:val="004702F9"/>
    <w:rsid w:val="00470371"/>
    <w:rsid w:val="004703A1"/>
    <w:rsid w:val="0047051F"/>
    <w:rsid w:val="00470707"/>
    <w:rsid w:val="004707F7"/>
    <w:rsid w:val="004708D4"/>
    <w:rsid w:val="00470A23"/>
    <w:rsid w:val="0047152E"/>
    <w:rsid w:val="00471753"/>
    <w:rsid w:val="0047183F"/>
    <w:rsid w:val="0047188D"/>
    <w:rsid w:val="00471944"/>
    <w:rsid w:val="0047198D"/>
    <w:rsid w:val="00471D41"/>
    <w:rsid w:val="00471F1C"/>
    <w:rsid w:val="0047258E"/>
    <w:rsid w:val="004726A5"/>
    <w:rsid w:val="0047285A"/>
    <w:rsid w:val="00472A17"/>
    <w:rsid w:val="004730C9"/>
    <w:rsid w:val="00473103"/>
    <w:rsid w:val="0047322F"/>
    <w:rsid w:val="0047387E"/>
    <w:rsid w:val="004738D9"/>
    <w:rsid w:val="00473B9C"/>
    <w:rsid w:val="0047425C"/>
    <w:rsid w:val="0047491C"/>
    <w:rsid w:val="004749B8"/>
    <w:rsid w:val="00474BC0"/>
    <w:rsid w:val="00474DEB"/>
    <w:rsid w:val="00474E09"/>
    <w:rsid w:val="00474E0B"/>
    <w:rsid w:val="004750BC"/>
    <w:rsid w:val="0047551D"/>
    <w:rsid w:val="00475AAC"/>
    <w:rsid w:val="00475E22"/>
    <w:rsid w:val="004760A9"/>
    <w:rsid w:val="0047662A"/>
    <w:rsid w:val="00476E47"/>
    <w:rsid w:val="004779D6"/>
    <w:rsid w:val="004779DA"/>
    <w:rsid w:val="00477B01"/>
    <w:rsid w:val="00477BC5"/>
    <w:rsid w:val="00477D02"/>
    <w:rsid w:val="00477D03"/>
    <w:rsid w:val="004807BD"/>
    <w:rsid w:val="00480C3F"/>
    <w:rsid w:val="00480DFB"/>
    <w:rsid w:val="00480E52"/>
    <w:rsid w:val="00480E68"/>
    <w:rsid w:val="00480E85"/>
    <w:rsid w:val="00480FC2"/>
    <w:rsid w:val="00481098"/>
    <w:rsid w:val="00481357"/>
    <w:rsid w:val="00481426"/>
    <w:rsid w:val="00481512"/>
    <w:rsid w:val="00481590"/>
    <w:rsid w:val="00481EC6"/>
    <w:rsid w:val="00481F61"/>
    <w:rsid w:val="00482344"/>
    <w:rsid w:val="00482571"/>
    <w:rsid w:val="004827E0"/>
    <w:rsid w:val="00482892"/>
    <w:rsid w:val="00482E97"/>
    <w:rsid w:val="004835DF"/>
    <w:rsid w:val="004836C0"/>
    <w:rsid w:val="00483B1E"/>
    <w:rsid w:val="00483C0C"/>
    <w:rsid w:val="00483FC5"/>
    <w:rsid w:val="00484035"/>
    <w:rsid w:val="0048418B"/>
    <w:rsid w:val="004845B1"/>
    <w:rsid w:val="00484735"/>
    <w:rsid w:val="00484B6C"/>
    <w:rsid w:val="00484C74"/>
    <w:rsid w:val="00484C7D"/>
    <w:rsid w:val="00484D69"/>
    <w:rsid w:val="0048528C"/>
    <w:rsid w:val="00485A99"/>
    <w:rsid w:val="00485B6A"/>
    <w:rsid w:val="00485D7E"/>
    <w:rsid w:val="00486305"/>
    <w:rsid w:val="004863F2"/>
    <w:rsid w:val="0048642C"/>
    <w:rsid w:val="004864D2"/>
    <w:rsid w:val="00486591"/>
    <w:rsid w:val="00486658"/>
    <w:rsid w:val="0048696E"/>
    <w:rsid w:val="004869B3"/>
    <w:rsid w:val="00486AC6"/>
    <w:rsid w:val="00486C19"/>
    <w:rsid w:val="00486EA4"/>
    <w:rsid w:val="0048708B"/>
    <w:rsid w:val="00487319"/>
    <w:rsid w:val="00487AB2"/>
    <w:rsid w:val="00487E6F"/>
    <w:rsid w:val="00487FFD"/>
    <w:rsid w:val="0049011B"/>
    <w:rsid w:val="00490669"/>
    <w:rsid w:val="00490983"/>
    <w:rsid w:val="00490AFD"/>
    <w:rsid w:val="00490DA8"/>
    <w:rsid w:val="004911AD"/>
    <w:rsid w:val="004912CE"/>
    <w:rsid w:val="004913D1"/>
    <w:rsid w:val="00491B73"/>
    <w:rsid w:val="00492117"/>
    <w:rsid w:val="00492912"/>
    <w:rsid w:val="00492AF4"/>
    <w:rsid w:val="00492C29"/>
    <w:rsid w:val="00492F1A"/>
    <w:rsid w:val="0049352D"/>
    <w:rsid w:val="004937EC"/>
    <w:rsid w:val="00493D4B"/>
    <w:rsid w:val="0049406B"/>
    <w:rsid w:val="00494314"/>
    <w:rsid w:val="004947C3"/>
    <w:rsid w:val="004948A5"/>
    <w:rsid w:val="004952C0"/>
    <w:rsid w:val="00495615"/>
    <w:rsid w:val="004956F7"/>
    <w:rsid w:val="00495B1B"/>
    <w:rsid w:val="00495CF4"/>
    <w:rsid w:val="00496AE4"/>
    <w:rsid w:val="00496C4F"/>
    <w:rsid w:val="00496C74"/>
    <w:rsid w:val="00496D95"/>
    <w:rsid w:val="00496E54"/>
    <w:rsid w:val="00497245"/>
    <w:rsid w:val="00497568"/>
    <w:rsid w:val="004976CA"/>
    <w:rsid w:val="00497768"/>
    <w:rsid w:val="00497806"/>
    <w:rsid w:val="0049786E"/>
    <w:rsid w:val="004978DC"/>
    <w:rsid w:val="0049799D"/>
    <w:rsid w:val="004A0093"/>
    <w:rsid w:val="004A027F"/>
    <w:rsid w:val="004A02E9"/>
    <w:rsid w:val="004A034C"/>
    <w:rsid w:val="004A0625"/>
    <w:rsid w:val="004A0946"/>
    <w:rsid w:val="004A0991"/>
    <w:rsid w:val="004A0AEC"/>
    <w:rsid w:val="004A0B23"/>
    <w:rsid w:val="004A0C0F"/>
    <w:rsid w:val="004A1543"/>
    <w:rsid w:val="004A1D7A"/>
    <w:rsid w:val="004A1EDB"/>
    <w:rsid w:val="004A1F40"/>
    <w:rsid w:val="004A221B"/>
    <w:rsid w:val="004A2381"/>
    <w:rsid w:val="004A2586"/>
    <w:rsid w:val="004A36C4"/>
    <w:rsid w:val="004A372D"/>
    <w:rsid w:val="004A377C"/>
    <w:rsid w:val="004A3A5F"/>
    <w:rsid w:val="004A3A85"/>
    <w:rsid w:val="004A3B38"/>
    <w:rsid w:val="004A3CA2"/>
    <w:rsid w:val="004A3F17"/>
    <w:rsid w:val="004A41F9"/>
    <w:rsid w:val="004A4222"/>
    <w:rsid w:val="004A4CFA"/>
    <w:rsid w:val="004A4DC1"/>
    <w:rsid w:val="004A4F23"/>
    <w:rsid w:val="004A4F69"/>
    <w:rsid w:val="004A5211"/>
    <w:rsid w:val="004A52CE"/>
    <w:rsid w:val="004A5356"/>
    <w:rsid w:val="004A5869"/>
    <w:rsid w:val="004A5F6F"/>
    <w:rsid w:val="004A6366"/>
    <w:rsid w:val="004A65BB"/>
    <w:rsid w:val="004A672F"/>
    <w:rsid w:val="004A6770"/>
    <w:rsid w:val="004A6B64"/>
    <w:rsid w:val="004A72DE"/>
    <w:rsid w:val="004A7C92"/>
    <w:rsid w:val="004B017B"/>
    <w:rsid w:val="004B0293"/>
    <w:rsid w:val="004B03D8"/>
    <w:rsid w:val="004B075C"/>
    <w:rsid w:val="004B079D"/>
    <w:rsid w:val="004B08A5"/>
    <w:rsid w:val="004B0A02"/>
    <w:rsid w:val="004B0F29"/>
    <w:rsid w:val="004B0F60"/>
    <w:rsid w:val="004B0F99"/>
    <w:rsid w:val="004B0FE7"/>
    <w:rsid w:val="004B10CA"/>
    <w:rsid w:val="004B1169"/>
    <w:rsid w:val="004B1190"/>
    <w:rsid w:val="004B1212"/>
    <w:rsid w:val="004B15D2"/>
    <w:rsid w:val="004B16DC"/>
    <w:rsid w:val="004B1791"/>
    <w:rsid w:val="004B1A39"/>
    <w:rsid w:val="004B1AC2"/>
    <w:rsid w:val="004B1C15"/>
    <w:rsid w:val="004B1EC3"/>
    <w:rsid w:val="004B1EFF"/>
    <w:rsid w:val="004B2295"/>
    <w:rsid w:val="004B2423"/>
    <w:rsid w:val="004B2A29"/>
    <w:rsid w:val="004B2B63"/>
    <w:rsid w:val="004B2E9F"/>
    <w:rsid w:val="004B2FD2"/>
    <w:rsid w:val="004B372B"/>
    <w:rsid w:val="004B375A"/>
    <w:rsid w:val="004B3923"/>
    <w:rsid w:val="004B3B2C"/>
    <w:rsid w:val="004B3BB0"/>
    <w:rsid w:val="004B3C82"/>
    <w:rsid w:val="004B3D2B"/>
    <w:rsid w:val="004B41AA"/>
    <w:rsid w:val="004B427C"/>
    <w:rsid w:val="004B4374"/>
    <w:rsid w:val="004B455E"/>
    <w:rsid w:val="004B4598"/>
    <w:rsid w:val="004B46C3"/>
    <w:rsid w:val="004B46ED"/>
    <w:rsid w:val="004B481C"/>
    <w:rsid w:val="004B4C6F"/>
    <w:rsid w:val="004B4D56"/>
    <w:rsid w:val="004B4E40"/>
    <w:rsid w:val="004B539E"/>
    <w:rsid w:val="004B53C2"/>
    <w:rsid w:val="004B546E"/>
    <w:rsid w:val="004B55C3"/>
    <w:rsid w:val="004B5DC0"/>
    <w:rsid w:val="004B5E69"/>
    <w:rsid w:val="004B5F6B"/>
    <w:rsid w:val="004B6185"/>
    <w:rsid w:val="004B61A5"/>
    <w:rsid w:val="004B6867"/>
    <w:rsid w:val="004B6E86"/>
    <w:rsid w:val="004B6EA4"/>
    <w:rsid w:val="004B76C8"/>
    <w:rsid w:val="004B7AA8"/>
    <w:rsid w:val="004B7AD0"/>
    <w:rsid w:val="004B7D5E"/>
    <w:rsid w:val="004B7F51"/>
    <w:rsid w:val="004C00F9"/>
    <w:rsid w:val="004C02F3"/>
    <w:rsid w:val="004C058E"/>
    <w:rsid w:val="004C07B8"/>
    <w:rsid w:val="004C0992"/>
    <w:rsid w:val="004C09AA"/>
    <w:rsid w:val="004C0A0E"/>
    <w:rsid w:val="004C1117"/>
    <w:rsid w:val="004C14D7"/>
    <w:rsid w:val="004C1EAB"/>
    <w:rsid w:val="004C26C7"/>
    <w:rsid w:val="004C2825"/>
    <w:rsid w:val="004C29F5"/>
    <w:rsid w:val="004C2EDE"/>
    <w:rsid w:val="004C30BB"/>
    <w:rsid w:val="004C3115"/>
    <w:rsid w:val="004C3257"/>
    <w:rsid w:val="004C3297"/>
    <w:rsid w:val="004C32E9"/>
    <w:rsid w:val="004C35F5"/>
    <w:rsid w:val="004C3656"/>
    <w:rsid w:val="004C3CC0"/>
    <w:rsid w:val="004C3FCE"/>
    <w:rsid w:val="004C4469"/>
    <w:rsid w:val="004C4BB3"/>
    <w:rsid w:val="004C4F5C"/>
    <w:rsid w:val="004C5251"/>
    <w:rsid w:val="004C530C"/>
    <w:rsid w:val="004C530F"/>
    <w:rsid w:val="004C54DB"/>
    <w:rsid w:val="004C55DD"/>
    <w:rsid w:val="004C56B7"/>
    <w:rsid w:val="004C5B30"/>
    <w:rsid w:val="004C5DE1"/>
    <w:rsid w:val="004C60D5"/>
    <w:rsid w:val="004C650E"/>
    <w:rsid w:val="004C65A8"/>
    <w:rsid w:val="004C6B0D"/>
    <w:rsid w:val="004C6B39"/>
    <w:rsid w:val="004C6D48"/>
    <w:rsid w:val="004C733B"/>
    <w:rsid w:val="004C78AD"/>
    <w:rsid w:val="004C79A5"/>
    <w:rsid w:val="004C7CE5"/>
    <w:rsid w:val="004C7DA6"/>
    <w:rsid w:val="004C7EA7"/>
    <w:rsid w:val="004D062F"/>
    <w:rsid w:val="004D0987"/>
    <w:rsid w:val="004D0CA9"/>
    <w:rsid w:val="004D0EFB"/>
    <w:rsid w:val="004D1824"/>
    <w:rsid w:val="004D1873"/>
    <w:rsid w:val="004D18EE"/>
    <w:rsid w:val="004D19BB"/>
    <w:rsid w:val="004D1D10"/>
    <w:rsid w:val="004D2FB2"/>
    <w:rsid w:val="004D312E"/>
    <w:rsid w:val="004D331B"/>
    <w:rsid w:val="004D339D"/>
    <w:rsid w:val="004D33B0"/>
    <w:rsid w:val="004D3429"/>
    <w:rsid w:val="004D3462"/>
    <w:rsid w:val="004D362C"/>
    <w:rsid w:val="004D36AA"/>
    <w:rsid w:val="004D421D"/>
    <w:rsid w:val="004D4653"/>
    <w:rsid w:val="004D4A28"/>
    <w:rsid w:val="004D4D3B"/>
    <w:rsid w:val="004D4FB3"/>
    <w:rsid w:val="004D50A3"/>
    <w:rsid w:val="004D510A"/>
    <w:rsid w:val="004D58BF"/>
    <w:rsid w:val="004D5E9F"/>
    <w:rsid w:val="004D6308"/>
    <w:rsid w:val="004D6955"/>
    <w:rsid w:val="004D6959"/>
    <w:rsid w:val="004D6C26"/>
    <w:rsid w:val="004D6C81"/>
    <w:rsid w:val="004D6D24"/>
    <w:rsid w:val="004D713D"/>
    <w:rsid w:val="004D76BC"/>
    <w:rsid w:val="004D7C2B"/>
    <w:rsid w:val="004D7C9A"/>
    <w:rsid w:val="004D7FCC"/>
    <w:rsid w:val="004E016E"/>
    <w:rsid w:val="004E0253"/>
    <w:rsid w:val="004E0623"/>
    <w:rsid w:val="004E0A19"/>
    <w:rsid w:val="004E128E"/>
    <w:rsid w:val="004E1553"/>
    <w:rsid w:val="004E1E8F"/>
    <w:rsid w:val="004E23F2"/>
    <w:rsid w:val="004E257C"/>
    <w:rsid w:val="004E2CAF"/>
    <w:rsid w:val="004E3092"/>
    <w:rsid w:val="004E38EF"/>
    <w:rsid w:val="004E3AFD"/>
    <w:rsid w:val="004E3C45"/>
    <w:rsid w:val="004E3E3A"/>
    <w:rsid w:val="004E466B"/>
    <w:rsid w:val="004E46E3"/>
    <w:rsid w:val="004E4C87"/>
    <w:rsid w:val="004E4FFD"/>
    <w:rsid w:val="004E545F"/>
    <w:rsid w:val="004E5BF2"/>
    <w:rsid w:val="004E64D6"/>
    <w:rsid w:val="004E708E"/>
    <w:rsid w:val="004E74A3"/>
    <w:rsid w:val="004E7BA2"/>
    <w:rsid w:val="004E7C74"/>
    <w:rsid w:val="004E7CF3"/>
    <w:rsid w:val="004F0300"/>
    <w:rsid w:val="004F03FA"/>
    <w:rsid w:val="004F04D5"/>
    <w:rsid w:val="004F056F"/>
    <w:rsid w:val="004F0AF1"/>
    <w:rsid w:val="004F0D3B"/>
    <w:rsid w:val="004F112B"/>
    <w:rsid w:val="004F116F"/>
    <w:rsid w:val="004F1244"/>
    <w:rsid w:val="004F1247"/>
    <w:rsid w:val="004F15D4"/>
    <w:rsid w:val="004F1775"/>
    <w:rsid w:val="004F1874"/>
    <w:rsid w:val="004F1916"/>
    <w:rsid w:val="004F1C28"/>
    <w:rsid w:val="004F1C4F"/>
    <w:rsid w:val="004F2509"/>
    <w:rsid w:val="004F264E"/>
    <w:rsid w:val="004F2687"/>
    <w:rsid w:val="004F29FD"/>
    <w:rsid w:val="004F2A48"/>
    <w:rsid w:val="004F2B63"/>
    <w:rsid w:val="004F2FA2"/>
    <w:rsid w:val="004F2FF7"/>
    <w:rsid w:val="004F3163"/>
    <w:rsid w:val="004F325A"/>
    <w:rsid w:val="004F3416"/>
    <w:rsid w:val="004F3651"/>
    <w:rsid w:val="004F3C79"/>
    <w:rsid w:val="004F3D2F"/>
    <w:rsid w:val="004F42BC"/>
    <w:rsid w:val="004F43AF"/>
    <w:rsid w:val="004F441B"/>
    <w:rsid w:val="004F4710"/>
    <w:rsid w:val="004F496A"/>
    <w:rsid w:val="004F49CA"/>
    <w:rsid w:val="004F4C7B"/>
    <w:rsid w:val="004F4EEA"/>
    <w:rsid w:val="004F4F38"/>
    <w:rsid w:val="004F508B"/>
    <w:rsid w:val="004F50E5"/>
    <w:rsid w:val="004F5307"/>
    <w:rsid w:val="004F5933"/>
    <w:rsid w:val="004F59F5"/>
    <w:rsid w:val="004F5C45"/>
    <w:rsid w:val="004F5F0F"/>
    <w:rsid w:val="004F619C"/>
    <w:rsid w:val="004F61E0"/>
    <w:rsid w:val="004F67AC"/>
    <w:rsid w:val="004F6A61"/>
    <w:rsid w:val="004F6BA5"/>
    <w:rsid w:val="004F6BB3"/>
    <w:rsid w:val="004F6C2A"/>
    <w:rsid w:val="004F6F14"/>
    <w:rsid w:val="004F7070"/>
    <w:rsid w:val="004F7106"/>
    <w:rsid w:val="004F7375"/>
    <w:rsid w:val="004F73CB"/>
    <w:rsid w:val="004F7CFF"/>
    <w:rsid w:val="004F7E9C"/>
    <w:rsid w:val="004F7ED5"/>
    <w:rsid w:val="004F7EEE"/>
    <w:rsid w:val="0050072A"/>
    <w:rsid w:val="00500840"/>
    <w:rsid w:val="005009BF"/>
    <w:rsid w:val="00500CA6"/>
    <w:rsid w:val="00500D76"/>
    <w:rsid w:val="00501146"/>
    <w:rsid w:val="005013F7"/>
    <w:rsid w:val="00501596"/>
    <w:rsid w:val="00501858"/>
    <w:rsid w:val="00501BF0"/>
    <w:rsid w:val="00501C42"/>
    <w:rsid w:val="00501CAD"/>
    <w:rsid w:val="00502040"/>
    <w:rsid w:val="005026B1"/>
    <w:rsid w:val="005029E7"/>
    <w:rsid w:val="00502A12"/>
    <w:rsid w:val="00502AF7"/>
    <w:rsid w:val="00502F02"/>
    <w:rsid w:val="005033FB"/>
    <w:rsid w:val="0050353D"/>
    <w:rsid w:val="00503E88"/>
    <w:rsid w:val="005041B7"/>
    <w:rsid w:val="005047A7"/>
    <w:rsid w:val="00504EB4"/>
    <w:rsid w:val="00505053"/>
    <w:rsid w:val="005050C9"/>
    <w:rsid w:val="00505609"/>
    <w:rsid w:val="00505633"/>
    <w:rsid w:val="00505B50"/>
    <w:rsid w:val="00505C6B"/>
    <w:rsid w:val="00505CC9"/>
    <w:rsid w:val="00505EA7"/>
    <w:rsid w:val="0050622E"/>
    <w:rsid w:val="0050624D"/>
    <w:rsid w:val="005063FF"/>
    <w:rsid w:val="0050662A"/>
    <w:rsid w:val="00506D60"/>
    <w:rsid w:val="00506F36"/>
    <w:rsid w:val="00506F4D"/>
    <w:rsid w:val="005070BD"/>
    <w:rsid w:val="005071B5"/>
    <w:rsid w:val="00507358"/>
    <w:rsid w:val="00507763"/>
    <w:rsid w:val="00507BA3"/>
    <w:rsid w:val="00507EBB"/>
    <w:rsid w:val="005100AD"/>
    <w:rsid w:val="00510139"/>
    <w:rsid w:val="005103DE"/>
    <w:rsid w:val="005106D8"/>
    <w:rsid w:val="00510AAF"/>
    <w:rsid w:val="00510CD2"/>
    <w:rsid w:val="00510E59"/>
    <w:rsid w:val="00510F8B"/>
    <w:rsid w:val="00511285"/>
    <w:rsid w:val="005114E2"/>
    <w:rsid w:val="00511566"/>
    <w:rsid w:val="0051171B"/>
    <w:rsid w:val="00511B01"/>
    <w:rsid w:val="00511EDD"/>
    <w:rsid w:val="005120CC"/>
    <w:rsid w:val="005121A0"/>
    <w:rsid w:val="005121F7"/>
    <w:rsid w:val="00512714"/>
    <w:rsid w:val="00512728"/>
    <w:rsid w:val="00512CEF"/>
    <w:rsid w:val="00513030"/>
    <w:rsid w:val="00513789"/>
    <w:rsid w:val="00513EF0"/>
    <w:rsid w:val="0051423E"/>
    <w:rsid w:val="0051491F"/>
    <w:rsid w:val="005149A2"/>
    <w:rsid w:val="00514A76"/>
    <w:rsid w:val="00514BFB"/>
    <w:rsid w:val="00514F09"/>
    <w:rsid w:val="00514F82"/>
    <w:rsid w:val="00515BBC"/>
    <w:rsid w:val="00515CBD"/>
    <w:rsid w:val="00515FCB"/>
    <w:rsid w:val="00516159"/>
    <w:rsid w:val="005161BF"/>
    <w:rsid w:val="005163D2"/>
    <w:rsid w:val="005163F3"/>
    <w:rsid w:val="0051699F"/>
    <w:rsid w:val="005169E7"/>
    <w:rsid w:val="00516A5F"/>
    <w:rsid w:val="00516C2C"/>
    <w:rsid w:val="00516F6C"/>
    <w:rsid w:val="0051793B"/>
    <w:rsid w:val="00517952"/>
    <w:rsid w:val="005179C2"/>
    <w:rsid w:val="00517EAD"/>
    <w:rsid w:val="00520252"/>
    <w:rsid w:val="005202B3"/>
    <w:rsid w:val="00520893"/>
    <w:rsid w:val="005208ED"/>
    <w:rsid w:val="00520C2D"/>
    <w:rsid w:val="00520DC4"/>
    <w:rsid w:val="00521120"/>
    <w:rsid w:val="005213A3"/>
    <w:rsid w:val="0052145E"/>
    <w:rsid w:val="005215FF"/>
    <w:rsid w:val="0052164F"/>
    <w:rsid w:val="005217BD"/>
    <w:rsid w:val="00521AC7"/>
    <w:rsid w:val="00521D8E"/>
    <w:rsid w:val="00522C37"/>
    <w:rsid w:val="00522CBB"/>
    <w:rsid w:val="00522F7C"/>
    <w:rsid w:val="005236D1"/>
    <w:rsid w:val="0052378E"/>
    <w:rsid w:val="00523A41"/>
    <w:rsid w:val="00523F1D"/>
    <w:rsid w:val="00523F37"/>
    <w:rsid w:val="00524250"/>
    <w:rsid w:val="0052437C"/>
    <w:rsid w:val="00524910"/>
    <w:rsid w:val="0052491E"/>
    <w:rsid w:val="00524D38"/>
    <w:rsid w:val="005254B3"/>
    <w:rsid w:val="00525785"/>
    <w:rsid w:val="005261E6"/>
    <w:rsid w:val="00526C50"/>
    <w:rsid w:val="0052711F"/>
    <w:rsid w:val="0052716A"/>
    <w:rsid w:val="00527756"/>
    <w:rsid w:val="00527C48"/>
    <w:rsid w:val="005300C7"/>
    <w:rsid w:val="00530278"/>
    <w:rsid w:val="0053074F"/>
    <w:rsid w:val="005307B6"/>
    <w:rsid w:val="00530914"/>
    <w:rsid w:val="00530E13"/>
    <w:rsid w:val="00530FDA"/>
    <w:rsid w:val="0053107A"/>
    <w:rsid w:val="00531208"/>
    <w:rsid w:val="00531345"/>
    <w:rsid w:val="00531A10"/>
    <w:rsid w:val="00531BE5"/>
    <w:rsid w:val="00531CFC"/>
    <w:rsid w:val="00532333"/>
    <w:rsid w:val="00532750"/>
    <w:rsid w:val="00532D3D"/>
    <w:rsid w:val="00532F58"/>
    <w:rsid w:val="005330FB"/>
    <w:rsid w:val="0053314D"/>
    <w:rsid w:val="00533505"/>
    <w:rsid w:val="0053350C"/>
    <w:rsid w:val="00533699"/>
    <w:rsid w:val="005337D2"/>
    <w:rsid w:val="0053393A"/>
    <w:rsid w:val="005339FF"/>
    <w:rsid w:val="00533E5E"/>
    <w:rsid w:val="00533F22"/>
    <w:rsid w:val="00533F81"/>
    <w:rsid w:val="0053414B"/>
    <w:rsid w:val="00534408"/>
    <w:rsid w:val="005346C9"/>
    <w:rsid w:val="00534A21"/>
    <w:rsid w:val="00534D35"/>
    <w:rsid w:val="00534E7F"/>
    <w:rsid w:val="005350D3"/>
    <w:rsid w:val="005355E9"/>
    <w:rsid w:val="005357E5"/>
    <w:rsid w:val="00535849"/>
    <w:rsid w:val="00535A2E"/>
    <w:rsid w:val="00535E6A"/>
    <w:rsid w:val="005362CD"/>
    <w:rsid w:val="005363A2"/>
    <w:rsid w:val="00536468"/>
    <w:rsid w:val="0053659B"/>
    <w:rsid w:val="005365F5"/>
    <w:rsid w:val="00536E76"/>
    <w:rsid w:val="00536EE1"/>
    <w:rsid w:val="00536FEA"/>
    <w:rsid w:val="00537486"/>
    <w:rsid w:val="005376D6"/>
    <w:rsid w:val="00537BE0"/>
    <w:rsid w:val="00537FDA"/>
    <w:rsid w:val="0054002E"/>
    <w:rsid w:val="00540170"/>
    <w:rsid w:val="005405F2"/>
    <w:rsid w:val="0054069F"/>
    <w:rsid w:val="0054071A"/>
    <w:rsid w:val="00540C93"/>
    <w:rsid w:val="00540CA1"/>
    <w:rsid w:val="0054116A"/>
    <w:rsid w:val="005411C8"/>
    <w:rsid w:val="00541330"/>
    <w:rsid w:val="0054185F"/>
    <w:rsid w:val="005418C9"/>
    <w:rsid w:val="00541A02"/>
    <w:rsid w:val="005421FB"/>
    <w:rsid w:val="00542374"/>
    <w:rsid w:val="00542450"/>
    <w:rsid w:val="00542757"/>
    <w:rsid w:val="00542A55"/>
    <w:rsid w:val="00542AB9"/>
    <w:rsid w:val="00542ABD"/>
    <w:rsid w:val="00542C14"/>
    <w:rsid w:val="00543B8A"/>
    <w:rsid w:val="00543C45"/>
    <w:rsid w:val="005440DC"/>
    <w:rsid w:val="0054414E"/>
    <w:rsid w:val="0054423F"/>
    <w:rsid w:val="00544319"/>
    <w:rsid w:val="005445B4"/>
    <w:rsid w:val="00544719"/>
    <w:rsid w:val="005448E8"/>
    <w:rsid w:val="00544FAF"/>
    <w:rsid w:val="00544FDD"/>
    <w:rsid w:val="005454DD"/>
    <w:rsid w:val="005455D2"/>
    <w:rsid w:val="005455F4"/>
    <w:rsid w:val="00546127"/>
    <w:rsid w:val="00546285"/>
    <w:rsid w:val="005464E2"/>
    <w:rsid w:val="00546588"/>
    <w:rsid w:val="005465AA"/>
    <w:rsid w:val="005468CE"/>
    <w:rsid w:val="0054695A"/>
    <w:rsid w:val="0054722F"/>
    <w:rsid w:val="005473C5"/>
    <w:rsid w:val="00547469"/>
    <w:rsid w:val="005476AD"/>
    <w:rsid w:val="005476DB"/>
    <w:rsid w:val="00547713"/>
    <w:rsid w:val="00547957"/>
    <w:rsid w:val="00547A85"/>
    <w:rsid w:val="00547B08"/>
    <w:rsid w:val="00547D5A"/>
    <w:rsid w:val="00550401"/>
    <w:rsid w:val="0055060B"/>
    <w:rsid w:val="00550816"/>
    <w:rsid w:val="00550996"/>
    <w:rsid w:val="00550A54"/>
    <w:rsid w:val="00550FFB"/>
    <w:rsid w:val="005512D1"/>
    <w:rsid w:val="005514EC"/>
    <w:rsid w:val="0055194D"/>
    <w:rsid w:val="00551B42"/>
    <w:rsid w:val="0055208E"/>
    <w:rsid w:val="0055247A"/>
    <w:rsid w:val="0055282F"/>
    <w:rsid w:val="005529EF"/>
    <w:rsid w:val="00552A13"/>
    <w:rsid w:val="00552B11"/>
    <w:rsid w:val="00552C0C"/>
    <w:rsid w:val="00552EC0"/>
    <w:rsid w:val="00552EDE"/>
    <w:rsid w:val="005532EE"/>
    <w:rsid w:val="00553401"/>
    <w:rsid w:val="00553428"/>
    <w:rsid w:val="00553465"/>
    <w:rsid w:val="0055367F"/>
    <w:rsid w:val="005537F4"/>
    <w:rsid w:val="00553D4A"/>
    <w:rsid w:val="005540D7"/>
    <w:rsid w:val="005541AC"/>
    <w:rsid w:val="005547AD"/>
    <w:rsid w:val="0055480C"/>
    <w:rsid w:val="005548E1"/>
    <w:rsid w:val="00554989"/>
    <w:rsid w:val="00554CB8"/>
    <w:rsid w:val="00554EE8"/>
    <w:rsid w:val="00554F9F"/>
    <w:rsid w:val="00555364"/>
    <w:rsid w:val="00555AAF"/>
    <w:rsid w:val="00555BCD"/>
    <w:rsid w:val="00555CB2"/>
    <w:rsid w:val="00555D85"/>
    <w:rsid w:val="00555DD5"/>
    <w:rsid w:val="00555F2F"/>
    <w:rsid w:val="00555F93"/>
    <w:rsid w:val="0055604C"/>
    <w:rsid w:val="0055608E"/>
    <w:rsid w:val="00556965"/>
    <w:rsid w:val="00556E32"/>
    <w:rsid w:val="005572E4"/>
    <w:rsid w:val="00557513"/>
    <w:rsid w:val="005578D7"/>
    <w:rsid w:val="005579A5"/>
    <w:rsid w:val="00557A93"/>
    <w:rsid w:val="00557A9F"/>
    <w:rsid w:val="00557F15"/>
    <w:rsid w:val="005602C7"/>
    <w:rsid w:val="00560537"/>
    <w:rsid w:val="0056059B"/>
    <w:rsid w:val="00560775"/>
    <w:rsid w:val="00560A96"/>
    <w:rsid w:val="00560E33"/>
    <w:rsid w:val="00560EFE"/>
    <w:rsid w:val="0056132C"/>
    <w:rsid w:val="00561B74"/>
    <w:rsid w:val="00561D3C"/>
    <w:rsid w:val="00561F14"/>
    <w:rsid w:val="0056205D"/>
    <w:rsid w:val="00562776"/>
    <w:rsid w:val="00562973"/>
    <w:rsid w:val="00562DF2"/>
    <w:rsid w:val="00563035"/>
    <w:rsid w:val="00563DE4"/>
    <w:rsid w:val="00563E12"/>
    <w:rsid w:val="00563E81"/>
    <w:rsid w:val="00563F50"/>
    <w:rsid w:val="005641B2"/>
    <w:rsid w:val="00564B9C"/>
    <w:rsid w:val="00565666"/>
    <w:rsid w:val="0056594E"/>
    <w:rsid w:val="00565D56"/>
    <w:rsid w:val="005660B2"/>
    <w:rsid w:val="00566284"/>
    <w:rsid w:val="00566497"/>
    <w:rsid w:val="0056674F"/>
    <w:rsid w:val="00566C3C"/>
    <w:rsid w:val="00566D37"/>
    <w:rsid w:val="00567184"/>
    <w:rsid w:val="00567316"/>
    <w:rsid w:val="005673FA"/>
    <w:rsid w:val="0057008C"/>
    <w:rsid w:val="00570C72"/>
    <w:rsid w:val="00570D99"/>
    <w:rsid w:val="00570F96"/>
    <w:rsid w:val="005710B1"/>
    <w:rsid w:val="005710DC"/>
    <w:rsid w:val="00571101"/>
    <w:rsid w:val="005714AB"/>
    <w:rsid w:val="00571861"/>
    <w:rsid w:val="00571B8C"/>
    <w:rsid w:val="00571FDE"/>
    <w:rsid w:val="0057233B"/>
    <w:rsid w:val="005723FD"/>
    <w:rsid w:val="0057268D"/>
    <w:rsid w:val="00572743"/>
    <w:rsid w:val="0057276C"/>
    <w:rsid w:val="00572C4E"/>
    <w:rsid w:val="00572CA6"/>
    <w:rsid w:val="00572EFE"/>
    <w:rsid w:val="00572F65"/>
    <w:rsid w:val="00573105"/>
    <w:rsid w:val="005732FF"/>
    <w:rsid w:val="0057338F"/>
    <w:rsid w:val="00573653"/>
    <w:rsid w:val="005737F2"/>
    <w:rsid w:val="00573DF6"/>
    <w:rsid w:val="00573E6B"/>
    <w:rsid w:val="00573EEF"/>
    <w:rsid w:val="00573F4B"/>
    <w:rsid w:val="0057443E"/>
    <w:rsid w:val="005746B6"/>
    <w:rsid w:val="0057498B"/>
    <w:rsid w:val="00574AFD"/>
    <w:rsid w:val="00574BBC"/>
    <w:rsid w:val="00574D1A"/>
    <w:rsid w:val="00574DAC"/>
    <w:rsid w:val="00574ED6"/>
    <w:rsid w:val="0057531F"/>
    <w:rsid w:val="005756E7"/>
    <w:rsid w:val="005757C0"/>
    <w:rsid w:val="005758EF"/>
    <w:rsid w:val="005763F4"/>
    <w:rsid w:val="00576B44"/>
    <w:rsid w:val="00576DE0"/>
    <w:rsid w:val="005770BA"/>
    <w:rsid w:val="005772F7"/>
    <w:rsid w:val="005773CD"/>
    <w:rsid w:val="00577410"/>
    <w:rsid w:val="0057774B"/>
    <w:rsid w:val="00577B18"/>
    <w:rsid w:val="005802AB"/>
    <w:rsid w:val="00580390"/>
    <w:rsid w:val="00580444"/>
    <w:rsid w:val="00580626"/>
    <w:rsid w:val="00580CCB"/>
    <w:rsid w:val="00580EEC"/>
    <w:rsid w:val="005811F9"/>
    <w:rsid w:val="00581220"/>
    <w:rsid w:val="00581531"/>
    <w:rsid w:val="00581542"/>
    <w:rsid w:val="005818EA"/>
    <w:rsid w:val="005819E7"/>
    <w:rsid w:val="00581C5B"/>
    <w:rsid w:val="00582342"/>
    <w:rsid w:val="00582443"/>
    <w:rsid w:val="00582A6D"/>
    <w:rsid w:val="00582C3A"/>
    <w:rsid w:val="00582CB5"/>
    <w:rsid w:val="00582CD6"/>
    <w:rsid w:val="00582FFE"/>
    <w:rsid w:val="00583075"/>
    <w:rsid w:val="0058353D"/>
    <w:rsid w:val="005835A2"/>
    <w:rsid w:val="00583718"/>
    <w:rsid w:val="005838D9"/>
    <w:rsid w:val="0058391C"/>
    <w:rsid w:val="00583B7C"/>
    <w:rsid w:val="00583C06"/>
    <w:rsid w:val="00583C14"/>
    <w:rsid w:val="00583DA8"/>
    <w:rsid w:val="00583F5B"/>
    <w:rsid w:val="005841AE"/>
    <w:rsid w:val="005845C4"/>
    <w:rsid w:val="0058468D"/>
    <w:rsid w:val="00584AB6"/>
    <w:rsid w:val="005857DC"/>
    <w:rsid w:val="00585A4D"/>
    <w:rsid w:val="00585AE5"/>
    <w:rsid w:val="00585CD9"/>
    <w:rsid w:val="00585F4E"/>
    <w:rsid w:val="00585F6B"/>
    <w:rsid w:val="00587189"/>
    <w:rsid w:val="005872C9"/>
    <w:rsid w:val="00587534"/>
    <w:rsid w:val="00587A2F"/>
    <w:rsid w:val="00587DA3"/>
    <w:rsid w:val="00587FF6"/>
    <w:rsid w:val="005901A5"/>
    <w:rsid w:val="0059096B"/>
    <w:rsid w:val="00590C2F"/>
    <w:rsid w:val="0059124C"/>
    <w:rsid w:val="005916C3"/>
    <w:rsid w:val="00591CC4"/>
    <w:rsid w:val="00591DA1"/>
    <w:rsid w:val="00591DE5"/>
    <w:rsid w:val="00592129"/>
    <w:rsid w:val="005921E8"/>
    <w:rsid w:val="00592341"/>
    <w:rsid w:val="005924CE"/>
    <w:rsid w:val="0059290B"/>
    <w:rsid w:val="00592BA7"/>
    <w:rsid w:val="00592BB0"/>
    <w:rsid w:val="00592E55"/>
    <w:rsid w:val="005931AE"/>
    <w:rsid w:val="005933EA"/>
    <w:rsid w:val="0059341B"/>
    <w:rsid w:val="00593600"/>
    <w:rsid w:val="00593749"/>
    <w:rsid w:val="00593A48"/>
    <w:rsid w:val="00593BC6"/>
    <w:rsid w:val="00593D0B"/>
    <w:rsid w:val="00593DD8"/>
    <w:rsid w:val="00593F52"/>
    <w:rsid w:val="00594142"/>
    <w:rsid w:val="005943AB"/>
    <w:rsid w:val="00594546"/>
    <w:rsid w:val="00594DB0"/>
    <w:rsid w:val="0059587C"/>
    <w:rsid w:val="00595961"/>
    <w:rsid w:val="00595DC7"/>
    <w:rsid w:val="00595DF5"/>
    <w:rsid w:val="00595E53"/>
    <w:rsid w:val="005968D8"/>
    <w:rsid w:val="00596BBE"/>
    <w:rsid w:val="00596C38"/>
    <w:rsid w:val="005973EB"/>
    <w:rsid w:val="0059742B"/>
    <w:rsid w:val="0059748A"/>
    <w:rsid w:val="005977B4"/>
    <w:rsid w:val="005977FD"/>
    <w:rsid w:val="0059793A"/>
    <w:rsid w:val="00597A05"/>
    <w:rsid w:val="00597A09"/>
    <w:rsid w:val="00597CA0"/>
    <w:rsid w:val="00597E10"/>
    <w:rsid w:val="005A005C"/>
    <w:rsid w:val="005A05AA"/>
    <w:rsid w:val="005A05EB"/>
    <w:rsid w:val="005A061F"/>
    <w:rsid w:val="005A0683"/>
    <w:rsid w:val="005A093B"/>
    <w:rsid w:val="005A0A83"/>
    <w:rsid w:val="005A0AE4"/>
    <w:rsid w:val="005A1039"/>
    <w:rsid w:val="005A103D"/>
    <w:rsid w:val="005A132D"/>
    <w:rsid w:val="005A155E"/>
    <w:rsid w:val="005A1606"/>
    <w:rsid w:val="005A1611"/>
    <w:rsid w:val="005A1876"/>
    <w:rsid w:val="005A1B43"/>
    <w:rsid w:val="005A1E5D"/>
    <w:rsid w:val="005A268C"/>
    <w:rsid w:val="005A2767"/>
    <w:rsid w:val="005A2B26"/>
    <w:rsid w:val="005A2C3C"/>
    <w:rsid w:val="005A2D42"/>
    <w:rsid w:val="005A2DB2"/>
    <w:rsid w:val="005A2E9B"/>
    <w:rsid w:val="005A2EEE"/>
    <w:rsid w:val="005A3222"/>
    <w:rsid w:val="005A32E2"/>
    <w:rsid w:val="005A34B9"/>
    <w:rsid w:val="005A384F"/>
    <w:rsid w:val="005A391B"/>
    <w:rsid w:val="005A3920"/>
    <w:rsid w:val="005A3BB1"/>
    <w:rsid w:val="005A3DA0"/>
    <w:rsid w:val="005A3E9F"/>
    <w:rsid w:val="005A40AB"/>
    <w:rsid w:val="005A4422"/>
    <w:rsid w:val="005A47D1"/>
    <w:rsid w:val="005A4BE3"/>
    <w:rsid w:val="005A4C74"/>
    <w:rsid w:val="005A5515"/>
    <w:rsid w:val="005A58C5"/>
    <w:rsid w:val="005A5A5C"/>
    <w:rsid w:val="005A5F83"/>
    <w:rsid w:val="005A5FCD"/>
    <w:rsid w:val="005A644C"/>
    <w:rsid w:val="005A6635"/>
    <w:rsid w:val="005A6AB0"/>
    <w:rsid w:val="005A6D58"/>
    <w:rsid w:val="005A6F49"/>
    <w:rsid w:val="005A6FC0"/>
    <w:rsid w:val="005A70B6"/>
    <w:rsid w:val="005A7148"/>
    <w:rsid w:val="005A721A"/>
    <w:rsid w:val="005A77D2"/>
    <w:rsid w:val="005A7839"/>
    <w:rsid w:val="005A786D"/>
    <w:rsid w:val="005B0709"/>
    <w:rsid w:val="005B0A7C"/>
    <w:rsid w:val="005B146C"/>
    <w:rsid w:val="005B14D7"/>
    <w:rsid w:val="005B1828"/>
    <w:rsid w:val="005B1D8A"/>
    <w:rsid w:val="005B1D93"/>
    <w:rsid w:val="005B1FA3"/>
    <w:rsid w:val="005B2126"/>
    <w:rsid w:val="005B2146"/>
    <w:rsid w:val="005B22A1"/>
    <w:rsid w:val="005B2318"/>
    <w:rsid w:val="005B2443"/>
    <w:rsid w:val="005B2448"/>
    <w:rsid w:val="005B256F"/>
    <w:rsid w:val="005B270A"/>
    <w:rsid w:val="005B295E"/>
    <w:rsid w:val="005B2DB6"/>
    <w:rsid w:val="005B2FC8"/>
    <w:rsid w:val="005B3461"/>
    <w:rsid w:val="005B3A08"/>
    <w:rsid w:val="005B3A68"/>
    <w:rsid w:val="005B3BCC"/>
    <w:rsid w:val="005B3C47"/>
    <w:rsid w:val="005B3CAF"/>
    <w:rsid w:val="005B3D34"/>
    <w:rsid w:val="005B3F06"/>
    <w:rsid w:val="005B4019"/>
    <w:rsid w:val="005B4261"/>
    <w:rsid w:val="005B45E2"/>
    <w:rsid w:val="005B4627"/>
    <w:rsid w:val="005B48D6"/>
    <w:rsid w:val="005B4B67"/>
    <w:rsid w:val="005B4D1E"/>
    <w:rsid w:val="005B56BD"/>
    <w:rsid w:val="005B5893"/>
    <w:rsid w:val="005B5ADC"/>
    <w:rsid w:val="005B5AED"/>
    <w:rsid w:val="005B5FBF"/>
    <w:rsid w:val="005B6242"/>
    <w:rsid w:val="005B62B7"/>
    <w:rsid w:val="005B63FA"/>
    <w:rsid w:val="005B6548"/>
    <w:rsid w:val="005B65C1"/>
    <w:rsid w:val="005B70C1"/>
    <w:rsid w:val="005B72CB"/>
    <w:rsid w:val="005B7929"/>
    <w:rsid w:val="005B7D03"/>
    <w:rsid w:val="005B7E1E"/>
    <w:rsid w:val="005B7FE1"/>
    <w:rsid w:val="005C02DB"/>
    <w:rsid w:val="005C0A36"/>
    <w:rsid w:val="005C0D4A"/>
    <w:rsid w:val="005C0F9E"/>
    <w:rsid w:val="005C0FAF"/>
    <w:rsid w:val="005C17C5"/>
    <w:rsid w:val="005C1D10"/>
    <w:rsid w:val="005C1F19"/>
    <w:rsid w:val="005C20E2"/>
    <w:rsid w:val="005C2416"/>
    <w:rsid w:val="005C257F"/>
    <w:rsid w:val="005C31B2"/>
    <w:rsid w:val="005C361F"/>
    <w:rsid w:val="005C39A2"/>
    <w:rsid w:val="005C39BF"/>
    <w:rsid w:val="005C3B3E"/>
    <w:rsid w:val="005C3B88"/>
    <w:rsid w:val="005C3F08"/>
    <w:rsid w:val="005C41CD"/>
    <w:rsid w:val="005C4405"/>
    <w:rsid w:val="005C47C4"/>
    <w:rsid w:val="005C4AA2"/>
    <w:rsid w:val="005C4B0F"/>
    <w:rsid w:val="005C4B87"/>
    <w:rsid w:val="005C4F89"/>
    <w:rsid w:val="005C53AE"/>
    <w:rsid w:val="005C587F"/>
    <w:rsid w:val="005C6505"/>
    <w:rsid w:val="005C6567"/>
    <w:rsid w:val="005C65AD"/>
    <w:rsid w:val="005C6826"/>
    <w:rsid w:val="005C6BC7"/>
    <w:rsid w:val="005C6E24"/>
    <w:rsid w:val="005C6E2E"/>
    <w:rsid w:val="005C6E83"/>
    <w:rsid w:val="005C715B"/>
    <w:rsid w:val="005C732F"/>
    <w:rsid w:val="005C73A6"/>
    <w:rsid w:val="005C7739"/>
    <w:rsid w:val="005C7847"/>
    <w:rsid w:val="005D000F"/>
    <w:rsid w:val="005D00D0"/>
    <w:rsid w:val="005D02DF"/>
    <w:rsid w:val="005D0BF4"/>
    <w:rsid w:val="005D0D6B"/>
    <w:rsid w:val="005D0DB8"/>
    <w:rsid w:val="005D11A1"/>
    <w:rsid w:val="005D128C"/>
    <w:rsid w:val="005D134F"/>
    <w:rsid w:val="005D17E6"/>
    <w:rsid w:val="005D1BE3"/>
    <w:rsid w:val="005D28F2"/>
    <w:rsid w:val="005D290E"/>
    <w:rsid w:val="005D2971"/>
    <w:rsid w:val="005D297A"/>
    <w:rsid w:val="005D2A60"/>
    <w:rsid w:val="005D2DA4"/>
    <w:rsid w:val="005D2EC6"/>
    <w:rsid w:val="005D31CA"/>
    <w:rsid w:val="005D36A3"/>
    <w:rsid w:val="005D3A63"/>
    <w:rsid w:val="005D4195"/>
    <w:rsid w:val="005D4283"/>
    <w:rsid w:val="005D43FC"/>
    <w:rsid w:val="005D459E"/>
    <w:rsid w:val="005D47C5"/>
    <w:rsid w:val="005D4ABB"/>
    <w:rsid w:val="005D4D8C"/>
    <w:rsid w:val="005D4D97"/>
    <w:rsid w:val="005D4DE4"/>
    <w:rsid w:val="005D505B"/>
    <w:rsid w:val="005D5225"/>
    <w:rsid w:val="005D560E"/>
    <w:rsid w:val="005D5717"/>
    <w:rsid w:val="005D5719"/>
    <w:rsid w:val="005D598B"/>
    <w:rsid w:val="005D5A78"/>
    <w:rsid w:val="005D5B2D"/>
    <w:rsid w:val="005D5B66"/>
    <w:rsid w:val="005D5CC6"/>
    <w:rsid w:val="005D5DB3"/>
    <w:rsid w:val="005D5F3A"/>
    <w:rsid w:val="005D5F7A"/>
    <w:rsid w:val="005D61A0"/>
    <w:rsid w:val="005D629C"/>
    <w:rsid w:val="005D6303"/>
    <w:rsid w:val="005D664B"/>
    <w:rsid w:val="005D689F"/>
    <w:rsid w:val="005D6B74"/>
    <w:rsid w:val="005D6D0C"/>
    <w:rsid w:val="005D71AA"/>
    <w:rsid w:val="005D743F"/>
    <w:rsid w:val="005D7781"/>
    <w:rsid w:val="005E0077"/>
    <w:rsid w:val="005E04FF"/>
    <w:rsid w:val="005E0BAA"/>
    <w:rsid w:val="005E1126"/>
    <w:rsid w:val="005E14F2"/>
    <w:rsid w:val="005E16E3"/>
    <w:rsid w:val="005E18C3"/>
    <w:rsid w:val="005E1D52"/>
    <w:rsid w:val="005E1E31"/>
    <w:rsid w:val="005E2193"/>
    <w:rsid w:val="005E241C"/>
    <w:rsid w:val="005E265C"/>
    <w:rsid w:val="005E2E06"/>
    <w:rsid w:val="005E2F40"/>
    <w:rsid w:val="005E30C4"/>
    <w:rsid w:val="005E33B9"/>
    <w:rsid w:val="005E35AF"/>
    <w:rsid w:val="005E35F3"/>
    <w:rsid w:val="005E38DB"/>
    <w:rsid w:val="005E3A4B"/>
    <w:rsid w:val="005E3CF7"/>
    <w:rsid w:val="005E3E3C"/>
    <w:rsid w:val="005E3F0F"/>
    <w:rsid w:val="005E48D8"/>
    <w:rsid w:val="005E4BFF"/>
    <w:rsid w:val="005E50EB"/>
    <w:rsid w:val="005E52EE"/>
    <w:rsid w:val="005E5323"/>
    <w:rsid w:val="005E532C"/>
    <w:rsid w:val="005E534D"/>
    <w:rsid w:val="005E5C97"/>
    <w:rsid w:val="005E5DB2"/>
    <w:rsid w:val="005E5ED1"/>
    <w:rsid w:val="005E6434"/>
    <w:rsid w:val="005E646D"/>
    <w:rsid w:val="005E689B"/>
    <w:rsid w:val="005E691E"/>
    <w:rsid w:val="005E6941"/>
    <w:rsid w:val="005E6D19"/>
    <w:rsid w:val="005E7202"/>
    <w:rsid w:val="005E7242"/>
    <w:rsid w:val="005E762C"/>
    <w:rsid w:val="005E7765"/>
    <w:rsid w:val="005E798C"/>
    <w:rsid w:val="005E7B74"/>
    <w:rsid w:val="005E7D18"/>
    <w:rsid w:val="005F0588"/>
    <w:rsid w:val="005F06F4"/>
    <w:rsid w:val="005F0A72"/>
    <w:rsid w:val="005F0AE2"/>
    <w:rsid w:val="005F0DA2"/>
    <w:rsid w:val="005F0F1F"/>
    <w:rsid w:val="005F125E"/>
    <w:rsid w:val="005F149B"/>
    <w:rsid w:val="005F15CF"/>
    <w:rsid w:val="005F1622"/>
    <w:rsid w:val="005F1745"/>
    <w:rsid w:val="005F1AD8"/>
    <w:rsid w:val="005F1D1C"/>
    <w:rsid w:val="005F1EC9"/>
    <w:rsid w:val="005F1FC8"/>
    <w:rsid w:val="005F2160"/>
    <w:rsid w:val="005F27F2"/>
    <w:rsid w:val="005F2886"/>
    <w:rsid w:val="005F3276"/>
    <w:rsid w:val="005F34A4"/>
    <w:rsid w:val="005F34B9"/>
    <w:rsid w:val="005F384A"/>
    <w:rsid w:val="005F3D2B"/>
    <w:rsid w:val="005F3D41"/>
    <w:rsid w:val="005F44E4"/>
    <w:rsid w:val="005F4676"/>
    <w:rsid w:val="005F4B15"/>
    <w:rsid w:val="005F4E4F"/>
    <w:rsid w:val="005F4F4E"/>
    <w:rsid w:val="005F5272"/>
    <w:rsid w:val="005F53A3"/>
    <w:rsid w:val="005F55D4"/>
    <w:rsid w:val="005F5817"/>
    <w:rsid w:val="005F5D96"/>
    <w:rsid w:val="005F6396"/>
    <w:rsid w:val="005F66B8"/>
    <w:rsid w:val="005F6768"/>
    <w:rsid w:val="005F67BD"/>
    <w:rsid w:val="005F687F"/>
    <w:rsid w:val="005F6A60"/>
    <w:rsid w:val="005F6F73"/>
    <w:rsid w:val="005F78ED"/>
    <w:rsid w:val="005F79C1"/>
    <w:rsid w:val="005F7FD9"/>
    <w:rsid w:val="006003C9"/>
    <w:rsid w:val="00600580"/>
    <w:rsid w:val="0060068B"/>
    <w:rsid w:val="00600AB4"/>
    <w:rsid w:val="00600C57"/>
    <w:rsid w:val="00600EBA"/>
    <w:rsid w:val="00600F24"/>
    <w:rsid w:val="00601350"/>
    <w:rsid w:val="006014CB"/>
    <w:rsid w:val="006015C2"/>
    <w:rsid w:val="00601B21"/>
    <w:rsid w:val="00601BAC"/>
    <w:rsid w:val="00601C29"/>
    <w:rsid w:val="00601E58"/>
    <w:rsid w:val="00602233"/>
    <w:rsid w:val="0060243A"/>
    <w:rsid w:val="0060248A"/>
    <w:rsid w:val="006024AC"/>
    <w:rsid w:val="006024FF"/>
    <w:rsid w:val="00602BA1"/>
    <w:rsid w:val="00602CD1"/>
    <w:rsid w:val="00602DDC"/>
    <w:rsid w:val="0060312D"/>
    <w:rsid w:val="00603483"/>
    <w:rsid w:val="006035AD"/>
    <w:rsid w:val="006037B8"/>
    <w:rsid w:val="00603E17"/>
    <w:rsid w:val="00604311"/>
    <w:rsid w:val="00604451"/>
    <w:rsid w:val="00604512"/>
    <w:rsid w:val="006045E3"/>
    <w:rsid w:val="0060464A"/>
    <w:rsid w:val="00604804"/>
    <w:rsid w:val="00604E76"/>
    <w:rsid w:val="00604FC8"/>
    <w:rsid w:val="006056BE"/>
    <w:rsid w:val="00605A71"/>
    <w:rsid w:val="00605B69"/>
    <w:rsid w:val="00605BC0"/>
    <w:rsid w:val="00605EB8"/>
    <w:rsid w:val="00606865"/>
    <w:rsid w:val="00606EA6"/>
    <w:rsid w:val="00607005"/>
    <w:rsid w:val="0060747C"/>
    <w:rsid w:val="00607543"/>
    <w:rsid w:val="006075BF"/>
    <w:rsid w:val="00607866"/>
    <w:rsid w:val="0060797D"/>
    <w:rsid w:val="00607CDB"/>
    <w:rsid w:val="00607E60"/>
    <w:rsid w:val="00610076"/>
    <w:rsid w:val="006102EE"/>
    <w:rsid w:val="00610502"/>
    <w:rsid w:val="00610912"/>
    <w:rsid w:val="00610998"/>
    <w:rsid w:val="00610A0A"/>
    <w:rsid w:val="00610C2B"/>
    <w:rsid w:val="00610DA5"/>
    <w:rsid w:val="00610E83"/>
    <w:rsid w:val="00610F79"/>
    <w:rsid w:val="0061151F"/>
    <w:rsid w:val="00611896"/>
    <w:rsid w:val="00611C67"/>
    <w:rsid w:val="00611F53"/>
    <w:rsid w:val="0061206E"/>
    <w:rsid w:val="0061214D"/>
    <w:rsid w:val="006122B7"/>
    <w:rsid w:val="00612471"/>
    <w:rsid w:val="00612D29"/>
    <w:rsid w:val="006135CB"/>
    <w:rsid w:val="006138D9"/>
    <w:rsid w:val="006139C4"/>
    <w:rsid w:val="00613AFE"/>
    <w:rsid w:val="0061402C"/>
    <w:rsid w:val="006140A7"/>
    <w:rsid w:val="00614162"/>
    <w:rsid w:val="0061468C"/>
    <w:rsid w:val="00614DBE"/>
    <w:rsid w:val="00615D28"/>
    <w:rsid w:val="00615DA8"/>
    <w:rsid w:val="00615F0B"/>
    <w:rsid w:val="00615F24"/>
    <w:rsid w:val="00615F7F"/>
    <w:rsid w:val="006160BE"/>
    <w:rsid w:val="0061612B"/>
    <w:rsid w:val="006162C7"/>
    <w:rsid w:val="00616819"/>
    <w:rsid w:val="006169A9"/>
    <w:rsid w:val="00616CC7"/>
    <w:rsid w:val="00616E69"/>
    <w:rsid w:val="00617036"/>
    <w:rsid w:val="006170C0"/>
    <w:rsid w:val="00617283"/>
    <w:rsid w:val="006173AC"/>
    <w:rsid w:val="0061781B"/>
    <w:rsid w:val="00617A7B"/>
    <w:rsid w:val="00617BA1"/>
    <w:rsid w:val="00617CDB"/>
    <w:rsid w:val="00617EE7"/>
    <w:rsid w:val="00617F83"/>
    <w:rsid w:val="00620169"/>
    <w:rsid w:val="006203D5"/>
    <w:rsid w:val="0062044E"/>
    <w:rsid w:val="006205A5"/>
    <w:rsid w:val="00620B1A"/>
    <w:rsid w:val="00620B85"/>
    <w:rsid w:val="00620D47"/>
    <w:rsid w:val="00620FE1"/>
    <w:rsid w:val="0062166D"/>
    <w:rsid w:val="00621A13"/>
    <w:rsid w:val="00621DF5"/>
    <w:rsid w:val="006221EA"/>
    <w:rsid w:val="00622291"/>
    <w:rsid w:val="006222B3"/>
    <w:rsid w:val="006227AB"/>
    <w:rsid w:val="00622AFA"/>
    <w:rsid w:val="00622B2C"/>
    <w:rsid w:val="00622C6D"/>
    <w:rsid w:val="00622ED7"/>
    <w:rsid w:val="006232ED"/>
    <w:rsid w:val="00623930"/>
    <w:rsid w:val="006239F4"/>
    <w:rsid w:val="00623D94"/>
    <w:rsid w:val="00623F62"/>
    <w:rsid w:val="00624052"/>
    <w:rsid w:val="006248CD"/>
    <w:rsid w:val="00625154"/>
    <w:rsid w:val="00625197"/>
    <w:rsid w:val="0062537A"/>
    <w:rsid w:val="006254E2"/>
    <w:rsid w:val="006255F5"/>
    <w:rsid w:val="00625B04"/>
    <w:rsid w:val="00625CF2"/>
    <w:rsid w:val="00625E0D"/>
    <w:rsid w:val="00626218"/>
    <w:rsid w:val="006265A2"/>
    <w:rsid w:val="00626713"/>
    <w:rsid w:val="006268A0"/>
    <w:rsid w:val="006268F8"/>
    <w:rsid w:val="00626A31"/>
    <w:rsid w:val="00626B96"/>
    <w:rsid w:val="00626F20"/>
    <w:rsid w:val="00627047"/>
    <w:rsid w:val="0062743D"/>
    <w:rsid w:val="00627A54"/>
    <w:rsid w:val="00627A75"/>
    <w:rsid w:val="00627C9C"/>
    <w:rsid w:val="00630030"/>
    <w:rsid w:val="00630259"/>
    <w:rsid w:val="00630445"/>
    <w:rsid w:val="006304C3"/>
    <w:rsid w:val="00630A7A"/>
    <w:rsid w:val="00630C6F"/>
    <w:rsid w:val="00630F8E"/>
    <w:rsid w:val="00630FC8"/>
    <w:rsid w:val="006311AA"/>
    <w:rsid w:val="00631297"/>
    <w:rsid w:val="00631352"/>
    <w:rsid w:val="00631878"/>
    <w:rsid w:val="006318AB"/>
    <w:rsid w:val="00631A6F"/>
    <w:rsid w:val="00631DDB"/>
    <w:rsid w:val="00631F3D"/>
    <w:rsid w:val="006320FA"/>
    <w:rsid w:val="006324BE"/>
    <w:rsid w:val="00632814"/>
    <w:rsid w:val="0063286E"/>
    <w:rsid w:val="006329AA"/>
    <w:rsid w:val="00632CE7"/>
    <w:rsid w:val="00632E9D"/>
    <w:rsid w:val="00633533"/>
    <w:rsid w:val="0063391B"/>
    <w:rsid w:val="0063392F"/>
    <w:rsid w:val="0063400B"/>
    <w:rsid w:val="0063462C"/>
    <w:rsid w:val="006347E9"/>
    <w:rsid w:val="00634856"/>
    <w:rsid w:val="006348D0"/>
    <w:rsid w:val="00634A0A"/>
    <w:rsid w:val="00634ABD"/>
    <w:rsid w:val="00634E4A"/>
    <w:rsid w:val="00634F5E"/>
    <w:rsid w:val="006350D4"/>
    <w:rsid w:val="006351CC"/>
    <w:rsid w:val="00635298"/>
    <w:rsid w:val="00635421"/>
    <w:rsid w:val="006356A0"/>
    <w:rsid w:val="00635C57"/>
    <w:rsid w:val="00635D05"/>
    <w:rsid w:val="0063606B"/>
    <w:rsid w:val="00636224"/>
    <w:rsid w:val="00636873"/>
    <w:rsid w:val="00636A92"/>
    <w:rsid w:val="00636B94"/>
    <w:rsid w:val="00636CB9"/>
    <w:rsid w:val="00636CCB"/>
    <w:rsid w:val="00636D7F"/>
    <w:rsid w:val="00636E6A"/>
    <w:rsid w:val="00637AB1"/>
    <w:rsid w:val="00637BEF"/>
    <w:rsid w:val="0064040C"/>
    <w:rsid w:val="0064044D"/>
    <w:rsid w:val="00640962"/>
    <w:rsid w:val="00640C33"/>
    <w:rsid w:val="006411A6"/>
    <w:rsid w:val="00641304"/>
    <w:rsid w:val="00641311"/>
    <w:rsid w:val="00641896"/>
    <w:rsid w:val="00641994"/>
    <w:rsid w:val="00641DCB"/>
    <w:rsid w:val="00641F50"/>
    <w:rsid w:val="006420D6"/>
    <w:rsid w:val="0064210F"/>
    <w:rsid w:val="0064212F"/>
    <w:rsid w:val="0064218A"/>
    <w:rsid w:val="006426C1"/>
    <w:rsid w:val="00642BA1"/>
    <w:rsid w:val="00642DA7"/>
    <w:rsid w:val="00643159"/>
    <w:rsid w:val="00643566"/>
    <w:rsid w:val="00643B19"/>
    <w:rsid w:val="00643E63"/>
    <w:rsid w:val="0064405F"/>
    <w:rsid w:val="00644332"/>
    <w:rsid w:val="00644565"/>
    <w:rsid w:val="006449D9"/>
    <w:rsid w:val="00645176"/>
    <w:rsid w:val="00645406"/>
    <w:rsid w:val="0064546C"/>
    <w:rsid w:val="0064597E"/>
    <w:rsid w:val="00645D2F"/>
    <w:rsid w:val="006461E7"/>
    <w:rsid w:val="00646331"/>
    <w:rsid w:val="00646344"/>
    <w:rsid w:val="006464D6"/>
    <w:rsid w:val="00646526"/>
    <w:rsid w:val="006466D8"/>
    <w:rsid w:val="006467EF"/>
    <w:rsid w:val="00646A13"/>
    <w:rsid w:val="00646A37"/>
    <w:rsid w:val="00646D45"/>
    <w:rsid w:val="00646EF0"/>
    <w:rsid w:val="0064705A"/>
    <w:rsid w:val="00647450"/>
    <w:rsid w:val="00647886"/>
    <w:rsid w:val="00647B2F"/>
    <w:rsid w:val="00647D76"/>
    <w:rsid w:val="00647DCA"/>
    <w:rsid w:val="00647DF6"/>
    <w:rsid w:val="00650366"/>
    <w:rsid w:val="00650826"/>
    <w:rsid w:val="00650A8A"/>
    <w:rsid w:val="00650BBB"/>
    <w:rsid w:val="00650EAD"/>
    <w:rsid w:val="00650F69"/>
    <w:rsid w:val="006511D5"/>
    <w:rsid w:val="006515D9"/>
    <w:rsid w:val="00651736"/>
    <w:rsid w:val="0065175A"/>
    <w:rsid w:val="006517AE"/>
    <w:rsid w:val="00651D4C"/>
    <w:rsid w:val="00651DBB"/>
    <w:rsid w:val="006523D7"/>
    <w:rsid w:val="00652505"/>
    <w:rsid w:val="0065250A"/>
    <w:rsid w:val="00652746"/>
    <w:rsid w:val="00652BCA"/>
    <w:rsid w:val="00652EC9"/>
    <w:rsid w:val="00652F5E"/>
    <w:rsid w:val="006532E4"/>
    <w:rsid w:val="0065353A"/>
    <w:rsid w:val="00653830"/>
    <w:rsid w:val="0065387D"/>
    <w:rsid w:val="00653906"/>
    <w:rsid w:val="00653A91"/>
    <w:rsid w:val="00653E32"/>
    <w:rsid w:val="00653E9B"/>
    <w:rsid w:val="00653EB9"/>
    <w:rsid w:val="00653EFC"/>
    <w:rsid w:val="00653F03"/>
    <w:rsid w:val="006540CC"/>
    <w:rsid w:val="0065418B"/>
    <w:rsid w:val="006541F9"/>
    <w:rsid w:val="00654854"/>
    <w:rsid w:val="006549C0"/>
    <w:rsid w:val="006549EA"/>
    <w:rsid w:val="00654A1C"/>
    <w:rsid w:val="00654A6B"/>
    <w:rsid w:val="00654B67"/>
    <w:rsid w:val="00654BB4"/>
    <w:rsid w:val="00654C57"/>
    <w:rsid w:val="00654D6A"/>
    <w:rsid w:val="00654F36"/>
    <w:rsid w:val="0065583A"/>
    <w:rsid w:val="00655918"/>
    <w:rsid w:val="00655D99"/>
    <w:rsid w:val="00655DCC"/>
    <w:rsid w:val="00656454"/>
    <w:rsid w:val="00656511"/>
    <w:rsid w:val="00656DD3"/>
    <w:rsid w:val="0065706A"/>
    <w:rsid w:val="00657105"/>
    <w:rsid w:val="00657C05"/>
    <w:rsid w:val="00657EF1"/>
    <w:rsid w:val="00657EFA"/>
    <w:rsid w:val="0066034B"/>
    <w:rsid w:val="0066094C"/>
    <w:rsid w:val="00660A88"/>
    <w:rsid w:val="00660D06"/>
    <w:rsid w:val="00660DAB"/>
    <w:rsid w:val="00660F07"/>
    <w:rsid w:val="006613EA"/>
    <w:rsid w:val="006613EC"/>
    <w:rsid w:val="006615EE"/>
    <w:rsid w:val="00661AFA"/>
    <w:rsid w:val="00662045"/>
    <w:rsid w:val="00662065"/>
    <w:rsid w:val="006623E9"/>
    <w:rsid w:val="00662937"/>
    <w:rsid w:val="00662AA9"/>
    <w:rsid w:val="00662C55"/>
    <w:rsid w:val="00662D6E"/>
    <w:rsid w:val="006634CC"/>
    <w:rsid w:val="0066355C"/>
    <w:rsid w:val="00663820"/>
    <w:rsid w:val="00663B66"/>
    <w:rsid w:val="00663D09"/>
    <w:rsid w:val="00663F7A"/>
    <w:rsid w:val="0066460A"/>
    <w:rsid w:val="0066470F"/>
    <w:rsid w:val="006647B2"/>
    <w:rsid w:val="0066486B"/>
    <w:rsid w:val="00664972"/>
    <w:rsid w:val="00664BB4"/>
    <w:rsid w:val="0066561D"/>
    <w:rsid w:val="0066579F"/>
    <w:rsid w:val="0066586F"/>
    <w:rsid w:val="00665ACA"/>
    <w:rsid w:val="00665D9B"/>
    <w:rsid w:val="00666022"/>
    <w:rsid w:val="006662FD"/>
    <w:rsid w:val="00666387"/>
    <w:rsid w:val="00666581"/>
    <w:rsid w:val="0066668B"/>
    <w:rsid w:val="0066676C"/>
    <w:rsid w:val="0066677D"/>
    <w:rsid w:val="00666ADA"/>
    <w:rsid w:val="00666B42"/>
    <w:rsid w:val="00666D52"/>
    <w:rsid w:val="006671A8"/>
    <w:rsid w:val="00667307"/>
    <w:rsid w:val="00667357"/>
    <w:rsid w:val="0066735F"/>
    <w:rsid w:val="00667951"/>
    <w:rsid w:val="00667D95"/>
    <w:rsid w:val="0067000C"/>
    <w:rsid w:val="006705CE"/>
    <w:rsid w:val="00670980"/>
    <w:rsid w:val="00671029"/>
    <w:rsid w:val="00671AE0"/>
    <w:rsid w:val="00671BA9"/>
    <w:rsid w:val="00671BED"/>
    <w:rsid w:val="00672692"/>
    <w:rsid w:val="0067280B"/>
    <w:rsid w:val="00672953"/>
    <w:rsid w:val="00672987"/>
    <w:rsid w:val="00672B37"/>
    <w:rsid w:val="00672CC4"/>
    <w:rsid w:val="00672F44"/>
    <w:rsid w:val="006733F8"/>
    <w:rsid w:val="00673B58"/>
    <w:rsid w:val="00673BE0"/>
    <w:rsid w:val="00673D56"/>
    <w:rsid w:val="00674420"/>
    <w:rsid w:val="006749F7"/>
    <w:rsid w:val="00674A5E"/>
    <w:rsid w:val="00674ED6"/>
    <w:rsid w:val="00675193"/>
    <w:rsid w:val="0067537C"/>
    <w:rsid w:val="00675869"/>
    <w:rsid w:val="00675AD4"/>
    <w:rsid w:val="00675FEE"/>
    <w:rsid w:val="00676047"/>
    <w:rsid w:val="0067621E"/>
    <w:rsid w:val="0067629C"/>
    <w:rsid w:val="00676379"/>
    <w:rsid w:val="006764B9"/>
    <w:rsid w:val="0067683E"/>
    <w:rsid w:val="006769DE"/>
    <w:rsid w:val="00676C38"/>
    <w:rsid w:val="00676EBE"/>
    <w:rsid w:val="0067701D"/>
    <w:rsid w:val="006775A5"/>
    <w:rsid w:val="006775C5"/>
    <w:rsid w:val="006777D4"/>
    <w:rsid w:val="00677898"/>
    <w:rsid w:val="00677AD5"/>
    <w:rsid w:val="00677BE1"/>
    <w:rsid w:val="00677EA5"/>
    <w:rsid w:val="00677EDB"/>
    <w:rsid w:val="006803C3"/>
    <w:rsid w:val="006807AF"/>
    <w:rsid w:val="00680B68"/>
    <w:rsid w:val="00680B9F"/>
    <w:rsid w:val="00680E01"/>
    <w:rsid w:val="00681127"/>
    <w:rsid w:val="006818ED"/>
    <w:rsid w:val="0068194D"/>
    <w:rsid w:val="0068196A"/>
    <w:rsid w:val="00681A56"/>
    <w:rsid w:val="00681BD6"/>
    <w:rsid w:val="00681BEA"/>
    <w:rsid w:val="00681E3B"/>
    <w:rsid w:val="00681E45"/>
    <w:rsid w:val="00681F06"/>
    <w:rsid w:val="00681F17"/>
    <w:rsid w:val="00681F33"/>
    <w:rsid w:val="00682023"/>
    <w:rsid w:val="00682330"/>
    <w:rsid w:val="006823FD"/>
    <w:rsid w:val="00682616"/>
    <w:rsid w:val="0068261E"/>
    <w:rsid w:val="0068277B"/>
    <w:rsid w:val="00682BEC"/>
    <w:rsid w:val="00682FE2"/>
    <w:rsid w:val="0068315F"/>
    <w:rsid w:val="006833A8"/>
    <w:rsid w:val="006833D9"/>
    <w:rsid w:val="0068396D"/>
    <w:rsid w:val="00683C67"/>
    <w:rsid w:val="00683C95"/>
    <w:rsid w:val="00684090"/>
    <w:rsid w:val="0068427A"/>
    <w:rsid w:val="0068460A"/>
    <w:rsid w:val="00684810"/>
    <w:rsid w:val="00684B4A"/>
    <w:rsid w:val="00684DFF"/>
    <w:rsid w:val="006850AA"/>
    <w:rsid w:val="0068512E"/>
    <w:rsid w:val="006851EC"/>
    <w:rsid w:val="0068528A"/>
    <w:rsid w:val="0068547E"/>
    <w:rsid w:val="00685C48"/>
    <w:rsid w:val="00685F3B"/>
    <w:rsid w:val="00685F98"/>
    <w:rsid w:val="006861DB"/>
    <w:rsid w:val="006863FE"/>
    <w:rsid w:val="0068648E"/>
    <w:rsid w:val="00686568"/>
    <w:rsid w:val="00686574"/>
    <w:rsid w:val="00686590"/>
    <w:rsid w:val="00686ADA"/>
    <w:rsid w:val="00686BA0"/>
    <w:rsid w:val="00686E0E"/>
    <w:rsid w:val="006878F7"/>
    <w:rsid w:val="00687A10"/>
    <w:rsid w:val="00687C32"/>
    <w:rsid w:val="00687E63"/>
    <w:rsid w:val="00687F24"/>
    <w:rsid w:val="006903BE"/>
    <w:rsid w:val="006906A2"/>
    <w:rsid w:val="00690DE7"/>
    <w:rsid w:val="00690FBA"/>
    <w:rsid w:val="0069159B"/>
    <w:rsid w:val="006916D7"/>
    <w:rsid w:val="00691FFD"/>
    <w:rsid w:val="0069255D"/>
    <w:rsid w:val="006928ED"/>
    <w:rsid w:val="00692D62"/>
    <w:rsid w:val="00692DAD"/>
    <w:rsid w:val="006932DD"/>
    <w:rsid w:val="006934BE"/>
    <w:rsid w:val="00693601"/>
    <w:rsid w:val="0069398F"/>
    <w:rsid w:val="00693A14"/>
    <w:rsid w:val="00693D3F"/>
    <w:rsid w:val="00693EEF"/>
    <w:rsid w:val="006940F0"/>
    <w:rsid w:val="00694775"/>
    <w:rsid w:val="0069488E"/>
    <w:rsid w:val="00694980"/>
    <w:rsid w:val="00695233"/>
    <w:rsid w:val="00695335"/>
    <w:rsid w:val="0069547F"/>
    <w:rsid w:val="00695883"/>
    <w:rsid w:val="00695AB7"/>
    <w:rsid w:val="00695D55"/>
    <w:rsid w:val="00695D9D"/>
    <w:rsid w:val="00695E35"/>
    <w:rsid w:val="006962C6"/>
    <w:rsid w:val="006962C8"/>
    <w:rsid w:val="00696351"/>
    <w:rsid w:val="00696550"/>
    <w:rsid w:val="0069656B"/>
    <w:rsid w:val="0069666C"/>
    <w:rsid w:val="00696B88"/>
    <w:rsid w:val="00696BBD"/>
    <w:rsid w:val="00697488"/>
    <w:rsid w:val="00697BE1"/>
    <w:rsid w:val="00697D81"/>
    <w:rsid w:val="006A0015"/>
    <w:rsid w:val="006A064E"/>
    <w:rsid w:val="006A0C60"/>
    <w:rsid w:val="006A0CC1"/>
    <w:rsid w:val="006A0DC3"/>
    <w:rsid w:val="006A0E06"/>
    <w:rsid w:val="006A1032"/>
    <w:rsid w:val="006A1375"/>
    <w:rsid w:val="006A1727"/>
    <w:rsid w:val="006A19D3"/>
    <w:rsid w:val="006A1DAA"/>
    <w:rsid w:val="006A1E57"/>
    <w:rsid w:val="006A2140"/>
    <w:rsid w:val="006A21C5"/>
    <w:rsid w:val="006A250F"/>
    <w:rsid w:val="006A2573"/>
    <w:rsid w:val="006A25C0"/>
    <w:rsid w:val="006A2696"/>
    <w:rsid w:val="006A2923"/>
    <w:rsid w:val="006A2A54"/>
    <w:rsid w:val="006A2F6B"/>
    <w:rsid w:val="006A3363"/>
    <w:rsid w:val="006A3400"/>
    <w:rsid w:val="006A34FF"/>
    <w:rsid w:val="006A3777"/>
    <w:rsid w:val="006A392C"/>
    <w:rsid w:val="006A39AA"/>
    <w:rsid w:val="006A3A42"/>
    <w:rsid w:val="006A3B18"/>
    <w:rsid w:val="006A3C72"/>
    <w:rsid w:val="006A45CC"/>
    <w:rsid w:val="006A4D7B"/>
    <w:rsid w:val="006A4DB5"/>
    <w:rsid w:val="006A4E01"/>
    <w:rsid w:val="006A4F5F"/>
    <w:rsid w:val="006A5151"/>
    <w:rsid w:val="006A52EA"/>
    <w:rsid w:val="006A5437"/>
    <w:rsid w:val="006A55DE"/>
    <w:rsid w:val="006A57E5"/>
    <w:rsid w:val="006A5B01"/>
    <w:rsid w:val="006A5DB5"/>
    <w:rsid w:val="006A5E88"/>
    <w:rsid w:val="006A5EAD"/>
    <w:rsid w:val="006A6586"/>
    <w:rsid w:val="006A68A6"/>
    <w:rsid w:val="006A6B0E"/>
    <w:rsid w:val="006A6EE8"/>
    <w:rsid w:val="006A6F8E"/>
    <w:rsid w:val="006A7711"/>
    <w:rsid w:val="006A7A83"/>
    <w:rsid w:val="006A7C01"/>
    <w:rsid w:val="006A7F2D"/>
    <w:rsid w:val="006B02FE"/>
    <w:rsid w:val="006B06A2"/>
    <w:rsid w:val="006B0813"/>
    <w:rsid w:val="006B0BCC"/>
    <w:rsid w:val="006B0CAD"/>
    <w:rsid w:val="006B10A0"/>
    <w:rsid w:val="006B1271"/>
    <w:rsid w:val="006B13CC"/>
    <w:rsid w:val="006B1B7E"/>
    <w:rsid w:val="006B1CFE"/>
    <w:rsid w:val="006B1DE8"/>
    <w:rsid w:val="006B1ECF"/>
    <w:rsid w:val="006B1F94"/>
    <w:rsid w:val="006B2046"/>
    <w:rsid w:val="006B253F"/>
    <w:rsid w:val="006B2A01"/>
    <w:rsid w:val="006B2CF8"/>
    <w:rsid w:val="006B2D38"/>
    <w:rsid w:val="006B2DC9"/>
    <w:rsid w:val="006B303A"/>
    <w:rsid w:val="006B310A"/>
    <w:rsid w:val="006B3124"/>
    <w:rsid w:val="006B312C"/>
    <w:rsid w:val="006B323F"/>
    <w:rsid w:val="006B37D5"/>
    <w:rsid w:val="006B3B20"/>
    <w:rsid w:val="006B3E07"/>
    <w:rsid w:val="006B3F4C"/>
    <w:rsid w:val="006B4077"/>
    <w:rsid w:val="006B43D9"/>
    <w:rsid w:val="006B49D9"/>
    <w:rsid w:val="006B4E4D"/>
    <w:rsid w:val="006B4FC9"/>
    <w:rsid w:val="006B50CF"/>
    <w:rsid w:val="006B52D0"/>
    <w:rsid w:val="006B572B"/>
    <w:rsid w:val="006B5A44"/>
    <w:rsid w:val="006B5CB8"/>
    <w:rsid w:val="006B5CEE"/>
    <w:rsid w:val="006B5D02"/>
    <w:rsid w:val="006B615D"/>
    <w:rsid w:val="006B62AE"/>
    <w:rsid w:val="006B655D"/>
    <w:rsid w:val="006B65DA"/>
    <w:rsid w:val="006B69B6"/>
    <w:rsid w:val="006B6B55"/>
    <w:rsid w:val="006B6B64"/>
    <w:rsid w:val="006B6C04"/>
    <w:rsid w:val="006B6CA0"/>
    <w:rsid w:val="006B6CC0"/>
    <w:rsid w:val="006B6E2F"/>
    <w:rsid w:val="006B6EF0"/>
    <w:rsid w:val="006B6F69"/>
    <w:rsid w:val="006B6FE8"/>
    <w:rsid w:val="006B735C"/>
    <w:rsid w:val="006B73CC"/>
    <w:rsid w:val="006B7464"/>
    <w:rsid w:val="006B756D"/>
    <w:rsid w:val="006B787F"/>
    <w:rsid w:val="006B798A"/>
    <w:rsid w:val="006B7AFB"/>
    <w:rsid w:val="006B7EDE"/>
    <w:rsid w:val="006B7F0A"/>
    <w:rsid w:val="006B7F85"/>
    <w:rsid w:val="006C0339"/>
    <w:rsid w:val="006C034A"/>
    <w:rsid w:val="006C0438"/>
    <w:rsid w:val="006C05C1"/>
    <w:rsid w:val="006C0A49"/>
    <w:rsid w:val="006C0E09"/>
    <w:rsid w:val="006C0E18"/>
    <w:rsid w:val="006C0F30"/>
    <w:rsid w:val="006C0F85"/>
    <w:rsid w:val="006C10B3"/>
    <w:rsid w:val="006C112C"/>
    <w:rsid w:val="006C13FB"/>
    <w:rsid w:val="006C1C71"/>
    <w:rsid w:val="006C1D8F"/>
    <w:rsid w:val="006C1E88"/>
    <w:rsid w:val="006C2236"/>
    <w:rsid w:val="006C239B"/>
    <w:rsid w:val="006C269F"/>
    <w:rsid w:val="006C286A"/>
    <w:rsid w:val="006C292F"/>
    <w:rsid w:val="006C2AA5"/>
    <w:rsid w:val="006C2C24"/>
    <w:rsid w:val="006C2E6E"/>
    <w:rsid w:val="006C2FB2"/>
    <w:rsid w:val="006C33B0"/>
    <w:rsid w:val="006C3629"/>
    <w:rsid w:val="006C3BA4"/>
    <w:rsid w:val="006C3C0E"/>
    <w:rsid w:val="006C3D76"/>
    <w:rsid w:val="006C428A"/>
    <w:rsid w:val="006C43F2"/>
    <w:rsid w:val="006C4440"/>
    <w:rsid w:val="006C4545"/>
    <w:rsid w:val="006C4862"/>
    <w:rsid w:val="006C4AF3"/>
    <w:rsid w:val="006C4F93"/>
    <w:rsid w:val="006C501E"/>
    <w:rsid w:val="006C5027"/>
    <w:rsid w:val="006C5062"/>
    <w:rsid w:val="006C51A0"/>
    <w:rsid w:val="006C5410"/>
    <w:rsid w:val="006C5690"/>
    <w:rsid w:val="006C59B2"/>
    <w:rsid w:val="006C5A3A"/>
    <w:rsid w:val="006C5EC6"/>
    <w:rsid w:val="006C6ED0"/>
    <w:rsid w:val="006C702D"/>
    <w:rsid w:val="006C733B"/>
    <w:rsid w:val="006C74ED"/>
    <w:rsid w:val="006C7581"/>
    <w:rsid w:val="006C760F"/>
    <w:rsid w:val="006C77C6"/>
    <w:rsid w:val="006C78E0"/>
    <w:rsid w:val="006C79AB"/>
    <w:rsid w:val="006C7C28"/>
    <w:rsid w:val="006C7D77"/>
    <w:rsid w:val="006D0000"/>
    <w:rsid w:val="006D00CD"/>
    <w:rsid w:val="006D068F"/>
    <w:rsid w:val="006D0BCA"/>
    <w:rsid w:val="006D10B6"/>
    <w:rsid w:val="006D1321"/>
    <w:rsid w:val="006D16A7"/>
    <w:rsid w:val="006D171B"/>
    <w:rsid w:val="006D17D6"/>
    <w:rsid w:val="006D1A57"/>
    <w:rsid w:val="006D1EF6"/>
    <w:rsid w:val="006D1F68"/>
    <w:rsid w:val="006D233E"/>
    <w:rsid w:val="006D2A85"/>
    <w:rsid w:val="006D2AA7"/>
    <w:rsid w:val="006D2DDE"/>
    <w:rsid w:val="006D357F"/>
    <w:rsid w:val="006D3615"/>
    <w:rsid w:val="006D4088"/>
    <w:rsid w:val="006D4277"/>
    <w:rsid w:val="006D42A5"/>
    <w:rsid w:val="006D499E"/>
    <w:rsid w:val="006D4D42"/>
    <w:rsid w:val="006D4EE7"/>
    <w:rsid w:val="006D5043"/>
    <w:rsid w:val="006D51A0"/>
    <w:rsid w:val="006D51BF"/>
    <w:rsid w:val="006D546D"/>
    <w:rsid w:val="006D5803"/>
    <w:rsid w:val="006D5A57"/>
    <w:rsid w:val="006D5CC0"/>
    <w:rsid w:val="006D5D63"/>
    <w:rsid w:val="006D64FA"/>
    <w:rsid w:val="006D686C"/>
    <w:rsid w:val="006D69BF"/>
    <w:rsid w:val="006D7160"/>
    <w:rsid w:val="006D7165"/>
    <w:rsid w:val="006D7196"/>
    <w:rsid w:val="006D7284"/>
    <w:rsid w:val="006D785F"/>
    <w:rsid w:val="006E02DA"/>
    <w:rsid w:val="006E0867"/>
    <w:rsid w:val="006E0902"/>
    <w:rsid w:val="006E0ED6"/>
    <w:rsid w:val="006E1185"/>
    <w:rsid w:val="006E1192"/>
    <w:rsid w:val="006E17F3"/>
    <w:rsid w:val="006E183C"/>
    <w:rsid w:val="006E1841"/>
    <w:rsid w:val="006E1F8D"/>
    <w:rsid w:val="006E203F"/>
    <w:rsid w:val="006E2EF2"/>
    <w:rsid w:val="006E2F10"/>
    <w:rsid w:val="006E3C4F"/>
    <w:rsid w:val="006E3E38"/>
    <w:rsid w:val="006E43DA"/>
    <w:rsid w:val="006E4432"/>
    <w:rsid w:val="006E4515"/>
    <w:rsid w:val="006E4E51"/>
    <w:rsid w:val="006E5641"/>
    <w:rsid w:val="006E564D"/>
    <w:rsid w:val="006E5B94"/>
    <w:rsid w:val="006E5EEE"/>
    <w:rsid w:val="006E605D"/>
    <w:rsid w:val="006E6158"/>
    <w:rsid w:val="006E628A"/>
    <w:rsid w:val="006E6435"/>
    <w:rsid w:val="006E6834"/>
    <w:rsid w:val="006E6E42"/>
    <w:rsid w:val="006E7507"/>
    <w:rsid w:val="006E7799"/>
    <w:rsid w:val="006E7EBE"/>
    <w:rsid w:val="006E7EFA"/>
    <w:rsid w:val="006F010D"/>
    <w:rsid w:val="006F0498"/>
    <w:rsid w:val="006F0661"/>
    <w:rsid w:val="006F0711"/>
    <w:rsid w:val="006F07A5"/>
    <w:rsid w:val="006F0909"/>
    <w:rsid w:val="006F0EA8"/>
    <w:rsid w:val="006F12A4"/>
    <w:rsid w:val="006F14DE"/>
    <w:rsid w:val="006F183C"/>
    <w:rsid w:val="006F1F7B"/>
    <w:rsid w:val="006F2027"/>
    <w:rsid w:val="006F2621"/>
    <w:rsid w:val="006F294D"/>
    <w:rsid w:val="006F2CBB"/>
    <w:rsid w:val="006F2F45"/>
    <w:rsid w:val="006F2F6C"/>
    <w:rsid w:val="006F2F85"/>
    <w:rsid w:val="006F31EB"/>
    <w:rsid w:val="006F34EA"/>
    <w:rsid w:val="006F37E0"/>
    <w:rsid w:val="006F3977"/>
    <w:rsid w:val="006F3F70"/>
    <w:rsid w:val="006F4373"/>
    <w:rsid w:val="006F44F9"/>
    <w:rsid w:val="006F46FF"/>
    <w:rsid w:val="006F477A"/>
    <w:rsid w:val="006F4A29"/>
    <w:rsid w:val="006F4A36"/>
    <w:rsid w:val="006F4E53"/>
    <w:rsid w:val="006F4F61"/>
    <w:rsid w:val="006F50E0"/>
    <w:rsid w:val="006F5139"/>
    <w:rsid w:val="006F537F"/>
    <w:rsid w:val="006F54D9"/>
    <w:rsid w:val="006F59A9"/>
    <w:rsid w:val="006F5DE6"/>
    <w:rsid w:val="006F5DFB"/>
    <w:rsid w:val="006F60B8"/>
    <w:rsid w:val="006F61BC"/>
    <w:rsid w:val="006F657A"/>
    <w:rsid w:val="006F6B3E"/>
    <w:rsid w:val="006F7075"/>
    <w:rsid w:val="006F7116"/>
    <w:rsid w:val="006F78D6"/>
    <w:rsid w:val="007002CB"/>
    <w:rsid w:val="007002D9"/>
    <w:rsid w:val="00700DD4"/>
    <w:rsid w:val="0070107B"/>
    <w:rsid w:val="007014C0"/>
    <w:rsid w:val="00701613"/>
    <w:rsid w:val="007016F3"/>
    <w:rsid w:val="00701748"/>
    <w:rsid w:val="007017B7"/>
    <w:rsid w:val="007019E6"/>
    <w:rsid w:val="00701AF7"/>
    <w:rsid w:val="00701BA6"/>
    <w:rsid w:val="00701F66"/>
    <w:rsid w:val="00702080"/>
    <w:rsid w:val="00702089"/>
    <w:rsid w:val="007022F5"/>
    <w:rsid w:val="0070235C"/>
    <w:rsid w:val="00702BD0"/>
    <w:rsid w:val="00702E98"/>
    <w:rsid w:val="00702EB7"/>
    <w:rsid w:val="00703158"/>
    <w:rsid w:val="0070338F"/>
    <w:rsid w:val="007035B7"/>
    <w:rsid w:val="0070389E"/>
    <w:rsid w:val="00704201"/>
    <w:rsid w:val="00704586"/>
    <w:rsid w:val="00704A2F"/>
    <w:rsid w:val="00704A49"/>
    <w:rsid w:val="00704BA5"/>
    <w:rsid w:val="00704BC5"/>
    <w:rsid w:val="00704EB1"/>
    <w:rsid w:val="00705055"/>
    <w:rsid w:val="007054F8"/>
    <w:rsid w:val="0070550A"/>
    <w:rsid w:val="0070550B"/>
    <w:rsid w:val="00705949"/>
    <w:rsid w:val="00705C35"/>
    <w:rsid w:val="00705D1F"/>
    <w:rsid w:val="00705D47"/>
    <w:rsid w:val="00705F2B"/>
    <w:rsid w:val="0070652D"/>
    <w:rsid w:val="0070654B"/>
    <w:rsid w:val="007068B6"/>
    <w:rsid w:val="007068E5"/>
    <w:rsid w:val="00706C1E"/>
    <w:rsid w:val="00707472"/>
    <w:rsid w:val="00707ABE"/>
    <w:rsid w:val="00707BFB"/>
    <w:rsid w:val="00707D94"/>
    <w:rsid w:val="00707D9E"/>
    <w:rsid w:val="007101AA"/>
    <w:rsid w:val="007104F5"/>
    <w:rsid w:val="007106D8"/>
    <w:rsid w:val="00710737"/>
    <w:rsid w:val="00710B4A"/>
    <w:rsid w:val="00710B83"/>
    <w:rsid w:val="0071105B"/>
    <w:rsid w:val="0071106A"/>
    <w:rsid w:val="007112D3"/>
    <w:rsid w:val="0071146A"/>
    <w:rsid w:val="00711729"/>
    <w:rsid w:val="00711979"/>
    <w:rsid w:val="00711A5C"/>
    <w:rsid w:val="00711F48"/>
    <w:rsid w:val="00712327"/>
    <w:rsid w:val="00712349"/>
    <w:rsid w:val="00712B35"/>
    <w:rsid w:val="00712E46"/>
    <w:rsid w:val="00712F52"/>
    <w:rsid w:val="00713070"/>
    <w:rsid w:val="007132F6"/>
    <w:rsid w:val="007133C5"/>
    <w:rsid w:val="00713874"/>
    <w:rsid w:val="0071389B"/>
    <w:rsid w:val="007138F3"/>
    <w:rsid w:val="00713A79"/>
    <w:rsid w:val="00713C0A"/>
    <w:rsid w:val="00713D48"/>
    <w:rsid w:val="00713D9A"/>
    <w:rsid w:val="00713EBA"/>
    <w:rsid w:val="0071437D"/>
    <w:rsid w:val="0071457D"/>
    <w:rsid w:val="007149B7"/>
    <w:rsid w:val="00714B19"/>
    <w:rsid w:val="007151F8"/>
    <w:rsid w:val="00715565"/>
    <w:rsid w:val="00715F67"/>
    <w:rsid w:val="00716295"/>
    <w:rsid w:val="007162BA"/>
    <w:rsid w:val="007163EA"/>
    <w:rsid w:val="007171FA"/>
    <w:rsid w:val="0071738E"/>
    <w:rsid w:val="00717538"/>
    <w:rsid w:val="00717D4C"/>
    <w:rsid w:val="00717F8F"/>
    <w:rsid w:val="0072003C"/>
    <w:rsid w:val="007202B7"/>
    <w:rsid w:val="00720507"/>
    <w:rsid w:val="00720AAD"/>
    <w:rsid w:val="00720ADC"/>
    <w:rsid w:val="00720D09"/>
    <w:rsid w:val="00721E38"/>
    <w:rsid w:val="007223F3"/>
    <w:rsid w:val="00722645"/>
    <w:rsid w:val="0072282E"/>
    <w:rsid w:val="0072292A"/>
    <w:rsid w:val="0072313C"/>
    <w:rsid w:val="007234D3"/>
    <w:rsid w:val="00723854"/>
    <w:rsid w:val="00723865"/>
    <w:rsid w:val="00723B9D"/>
    <w:rsid w:val="007242CA"/>
    <w:rsid w:val="007246E8"/>
    <w:rsid w:val="00724867"/>
    <w:rsid w:val="00724CD2"/>
    <w:rsid w:val="00724F38"/>
    <w:rsid w:val="00725009"/>
    <w:rsid w:val="0072501A"/>
    <w:rsid w:val="00725415"/>
    <w:rsid w:val="0072545B"/>
    <w:rsid w:val="007256FD"/>
    <w:rsid w:val="0072571F"/>
    <w:rsid w:val="007258A3"/>
    <w:rsid w:val="00725AC2"/>
    <w:rsid w:val="007260A0"/>
    <w:rsid w:val="0072624D"/>
    <w:rsid w:val="007262AA"/>
    <w:rsid w:val="0072636A"/>
    <w:rsid w:val="00726454"/>
    <w:rsid w:val="00726B68"/>
    <w:rsid w:val="00726D54"/>
    <w:rsid w:val="00727033"/>
    <w:rsid w:val="00727142"/>
    <w:rsid w:val="007274D3"/>
    <w:rsid w:val="00727561"/>
    <w:rsid w:val="007275F8"/>
    <w:rsid w:val="00727894"/>
    <w:rsid w:val="00727951"/>
    <w:rsid w:val="007301BF"/>
    <w:rsid w:val="00730351"/>
    <w:rsid w:val="0073051E"/>
    <w:rsid w:val="00730820"/>
    <w:rsid w:val="00730DEE"/>
    <w:rsid w:val="00731094"/>
    <w:rsid w:val="007314AF"/>
    <w:rsid w:val="00732282"/>
    <w:rsid w:val="007326BA"/>
    <w:rsid w:val="00733671"/>
    <w:rsid w:val="00733A6A"/>
    <w:rsid w:val="00733E7B"/>
    <w:rsid w:val="00733ED9"/>
    <w:rsid w:val="007341A9"/>
    <w:rsid w:val="00734371"/>
    <w:rsid w:val="00734B0B"/>
    <w:rsid w:val="00734B8B"/>
    <w:rsid w:val="00735646"/>
    <w:rsid w:val="00735957"/>
    <w:rsid w:val="00735B4A"/>
    <w:rsid w:val="00735BC6"/>
    <w:rsid w:val="007361D8"/>
    <w:rsid w:val="00736244"/>
    <w:rsid w:val="007363B5"/>
    <w:rsid w:val="00736433"/>
    <w:rsid w:val="00736530"/>
    <w:rsid w:val="0073684F"/>
    <w:rsid w:val="0073694A"/>
    <w:rsid w:val="007369FB"/>
    <w:rsid w:val="00736B18"/>
    <w:rsid w:val="00736E83"/>
    <w:rsid w:val="007372E2"/>
    <w:rsid w:val="0073734B"/>
    <w:rsid w:val="00737E71"/>
    <w:rsid w:val="00740430"/>
    <w:rsid w:val="0074073D"/>
    <w:rsid w:val="00740B8F"/>
    <w:rsid w:val="00740DF3"/>
    <w:rsid w:val="00740F2C"/>
    <w:rsid w:val="007412EA"/>
    <w:rsid w:val="00741302"/>
    <w:rsid w:val="0074196E"/>
    <w:rsid w:val="007419B7"/>
    <w:rsid w:val="00741A7F"/>
    <w:rsid w:val="00742300"/>
    <w:rsid w:val="007429A7"/>
    <w:rsid w:val="00742A47"/>
    <w:rsid w:val="00742AC7"/>
    <w:rsid w:val="00742C13"/>
    <w:rsid w:val="00742C69"/>
    <w:rsid w:val="00742FCA"/>
    <w:rsid w:val="00743240"/>
    <w:rsid w:val="007434DB"/>
    <w:rsid w:val="00743B06"/>
    <w:rsid w:val="00743DF8"/>
    <w:rsid w:val="00743E9E"/>
    <w:rsid w:val="00743F04"/>
    <w:rsid w:val="0074420B"/>
    <w:rsid w:val="00744480"/>
    <w:rsid w:val="0074492C"/>
    <w:rsid w:val="00744FCD"/>
    <w:rsid w:val="00745C73"/>
    <w:rsid w:val="00745E76"/>
    <w:rsid w:val="00745EAF"/>
    <w:rsid w:val="00746047"/>
    <w:rsid w:val="007461E1"/>
    <w:rsid w:val="007462C2"/>
    <w:rsid w:val="007468DE"/>
    <w:rsid w:val="00746954"/>
    <w:rsid w:val="00747056"/>
    <w:rsid w:val="00747604"/>
    <w:rsid w:val="00747AF4"/>
    <w:rsid w:val="00747BAE"/>
    <w:rsid w:val="00747CD7"/>
    <w:rsid w:val="00747E9B"/>
    <w:rsid w:val="007501C6"/>
    <w:rsid w:val="00750324"/>
    <w:rsid w:val="00750335"/>
    <w:rsid w:val="00750558"/>
    <w:rsid w:val="00750561"/>
    <w:rsid w:val="00750594"/>
    <w:rsid w:val="00750AD1"/>
    <w:rsid w:val="00750B74"/>
    <w:rsid w:val="00750EAD"/>
    <w:rsid w:val="0075125A"/>
    <w:rsid w:val="00751D1A"/>
    <w:rsid w:val="00751DA0"/>
    <w:rsid w:val="00751E6F"/>
    <w:rsid w:val="00751F30"/>
    <w:rsid w:val="007522A9"/>
    <w:rsid w:val="007523D7"/>
    <w:rsid w:val="007524A4"/>
    <w:rsid w:val="00752B5C"/>
    <w:rsid w:val="00752EFE"/>
    <w:rsid w:val="00753329"/>
    <w:rsid w:val="00753853"/>
    <w:rsid w:val="00753875"/>
    <w:rsid w:val="00753C12"/>
    <w:rsid w:val="00753CC9"/>
    <w:rsid w:val="00754423"/>
    <w:rsid w:val="007544A3"/>
    <w:rsid w:val="007546B1"/>
    <w:rsid w:val="00754989"/>
    <w:rsid w:val="00754B0F"/>
    <w:rsid w:val="00754E86"/>
    <w:rsid w:val="00754F0E"/>
    <w:rsid w:val="00755751"/>
    <w:rsid w:val="00755974"/>
    <w:rsid w:val="0075600D"/>
    <w:rsid w:val="00756092"/>
    <w:rsid w:val="007561FF"/>
    <w:rsid w:val="00756270"/>
    <w:rsid w:val="007566D2"/>
    <w:rsid w:val="007568BB"/>
    <w:rsid w:val="00756FFB"/>
    <w:rsid w:val="007570C7"/>
    <w:rsid w:val="0075711E"/>
    <w:rsid w:val="0075714B"/>
    <w:rsid w:val="0075732C"/>
    <w:rsid w:val="00757708"/>
    <w:rsid w:val="00757714"/>
    <w:rsid w:val="007579D0"/>
    <w:rsid w:val="00757A9E"/>
    <w:rsid w:val="00757B64"/>
    <w:rsid w:val="00757E03"/>
    <w:rsid w:val="007603D1"/>
    <w:rsid w:val="00760502"/>
    <w:rsid w:val="00760585"/>
    <w:rsid w:val="007607D3"/>
    <w:rsid w:val="00760DB7"/>
    <w:rsid w:val="00761029"/>
    <w:rsid w:val="00761061"/>
    <w:rsid w:val="007614FB"/>
    <w:rsid w:val="00761954"/>
    <w:rsid w:val="00761D8F"/>
    <w:rsid w:val="00762486"/>
    <w:rsid w:val="00762487"/>
    <w:rsid w:val="007626A7"/>
    <w:rsid w:val="0076278A"/>
    <w:rsid w:val="00762A84"/>
    <w:rsid w:val="00762B5C"/>
    <w:rsid w:val="00762B77"/>
    <w:rsid w:val="00763359"/>
    <w:rsid w:val="007635A3"/>
    <w:rsid w:val="00763E28"/>
    <w:rsid w:val="00763E70"/>
    <w:rsid w:val="00764439"/>
    <w:rsid w:val="00764871"/>
    <w:rsid w:val="00764924"/>
    <w:rsid w:val="00764A1D"/>
    <w:rsid w:val="00764CE4"/>
    <w:rsid w:val="00764EDF"/>
    <w:rsid w:val="00764FF1"/>
    <w:rsid w:val="007651C8"/>
    <w:rsid w:val="00765290"/>
    <w:rsid w:val="007655A3"/>
    <w:rsid w:val="00765C3F"/>
    <w:rsid w:val="00765C9C"/>
    <w:rsid w:val="00765D54"/>
    <w:rsid w:val="00766085"/>
    <w:rsid w:val="0076615A"/>
    <w:rsid w:val="00766258"/>
    <w:rsid w:val="00766363"/>
    <w:rsid w:val="00766536"/>
    <w:rsid w:val="00766B2B"/>
    <w:rsid w:val="00766C1E"/>
    <w:rsid w:val="00766D15"/>
    <w:rsid w:val="00766E7E"/>
    <w:rsid w:val="00766EF9"/>
    <w:rsid w:val="00767010"/>
    <w:rsid w:val="007671AF"/>
    <w:rsid w:val="00767273"/>
    <w:rsid w:val="00767508"/>
    <w:rsid w:val="0076750E"/>
    <w:rsid w:val="0076774A"/>
    <w:rsid w:val="007700C8"/>
    <w:rsid w:val="00770215"/>
    <w:rsid w:val="0077063D"/>
    <w:rsid w:val="00770732"/>
    <w:rsid w:val="00771346"/>
    <w:rsid w:val="00771474"/>
    <w:rsid w:val="00771504"/>
    <w:rsid w:val="00771720"/>
    <w:rsid w:val="007718C1"/>
    <w:rsid w:val="00772411"/>
    <w:rsid w:val="0077267C"/>
    <w:rsid w:val="007727C2"/>
    <w:rsid w:val="00772C58"/>
    <w:rsid w:val="00772F48"/>
    <w:rsid w:val="00773364"/>
    <w:rsid w:val="00773566"/>
    <w:rsid w:val="007736CF"/>
    <w:rsid w:val="00773719"/>
    <w:rsid w:val="00773C00"/>
    <w:rsid w:val="00773CF5"/>
    <w:rsid w:val="00773FD9"/>
    <w:rsid w:val="00774022"/>
    <w:rsid w:val="00774826"/>
    <w:rsid w:val="007749D3"/>
    <w:rsid w:val="00774A50"/>
    <w:rsid w:val="00774D8B"/>
    <w:rsid w:val="00774F4A"/>
    <w:rsid w:val="007754C1"/>
    <w:rsid w:val="00775689"/>
    <w:rsid w:val="007758E3"/>
    <w:rsid w:val="007759CE"/>
    <w:rsid w:val="00775BBF"/>
    <w:rsid w:val="00775E13"/>
    <w:rsid w:val="00776281"/>
    <w:rsid w:val="00776527"/>
    <w:rsid w:val="00776772"/>
    <w:rsid w:val="00776E8D"/>
    <w:rsid w:val="007775A1"/>
    <w:rsid w:val="00777870"/>
    <w:rsid w:val="00780006"/>
    <w:rsid w:val="00780228"/>
    <w:rsid w:val="00780446"/>
    <w:rsid w:val="007805AA"/>
    <w:rsid w:val="00780865"/>
    <w:rsid w:val="00780ABF"/>
    <w:rsid w:val="00780B08"/>
    <w:rsid w:val="00780CD6"/>
    <w:rsid w:val="00780DD3"/>
    <w:rsid w:val="00781666"/>
    <w:rsid w:val="0078167C"/>
    <w:rsid w:val="00781C96"/>
    <w:rsid w:val="0078200D"/>
    <w:rsid w:val="0078200E"/>
    <w:rsid w:val="007821F0"/>
    <w:rsid w:val="007822A7"/>
    <w:rsid w:val="00782727"/>
    <w:rsid w:val="00782A15"/>
    <w:rsid w:val="00782A37"/>
    <w:rsid w:val="00782A4E"/>
    <w:rsid w:val="00782B78"/>
    <w:rsid w:val="00782CCC"/>
    <w:rsid w:val="00782FD5"/>
    <w:rsid w:val="00783142"/>
    <w:rsid w:val="007833A5"/>
    <w:rsid w:val="007837DD"/>
    <w:rsid w:val="00783E22"/>
    <w:rsid w:val="00783F69"/>
    <w:rsid w:val="00784170"/>
    <w:rsid w:val="00784A63"/>
    <w:rsid w:val="00784BC7"/>
    <w:rsid w:val="0078557E"/>
    <w:rsid w:val="00785656"/>
    <w:rsid w:val="007857B1"/>
    <w:rsid w:val="00786378"/>
    <w:rsid w:val="007865F8"/>
    <w:rsid w:val="00786673"/>
    <w:rsid w:val="00786944"/>
    <w:rsid w:val="00786B22"/>
    <w:rsid w:val="00786E12"/>
    <w:rsid w:val="00787303"/>
    <w:rsid w:val="0078738C"/>
    <w:rsid w:val="00787A5B"/>
    <w:rsid w:val="00787E33"/>
    <w:rsid w:val="00787F3B"/>
    <w:rsid w:val="0079002A"/>
    <w:rsid w:val="007903BB"/>
    <w:rsid w:val="00790472"/>
    <w:rsid w:val="00790693"/>
    <w:rsid w:val="00790957"/>
    <w:rsid w:val="00790C67"/>
    <w:rsid w:val="00791278"/>
    <w:rsid w:val="007912B1"/>
    <w:rsid w:val="007916F0"/>
    <w:rsid w:val="00791827"/>
    <w:rsid w:val="00791FBC"/>
    <w:rsid w:val="0079208C"/>
    <w:rsid w:val="00792195"/>
    <w:rsid w:val="00792219"/>
    <w:rsid w:val="00792A13"/>
    <w:rsid w:val="00792BB1"/>
    <w:rsid w:val="00792C3E"/>
    <w:rsid w:val="00792F6C"/>
    <w:rsid w:val="00793087"/>
    <w:rsid w:val="00793564"/>
    <w:rsid w:val="00793BA1"/>
    <w:rsid w:val="00793CA8"/>
    <w:rsid w:val="00793DF0"/>
    <w:rsid w:val="00793FA7"/>
    <w:rsid w:val="007941D3"/>
    <w:rsid w:val="00794582"/>
    <w:rsid w:val="007947FE"/>
    <w:rsid w:val="007948B6"/>
    <w:rsid w:val="00794F90"/>
    <w:rsid w:val="00795151"/>
    <w:rsid w:val="0079523F"/>
    <w:rsid w:val="0079525F"/>
    <w:rsid w:val="007953AE"/>
    <w:rsid w:val="007954E0"/>
    <w:rsid w:val="0079562B"/>
    <w:rsid w:val="0079574D"/>
    <w:rsid w:val="0079582F"/>
    <w:rsid w:val="007959EC"/>
    <w:rsid w:val="00795D30"/>
    <w:rsid w:val="00795D80"/>
    <w:rsid w:val="00795E4C"/>
    <w:rsid w:val="007962C2"/>
    <w:rsid w:val="0079639D"/>
    <w:rsid w:val="007963A9"/>
    <w:rsid w:val="0079671C"/>
    <w:rsid w:val="0079696E"/>
    <w:rsid w:val="00796A29"/>
    <w:rsid w:val="00796A6D"/>
    <w:rsid w:val="00796B16"/>
    <w:rsid w:val="00796B9F"/>
    <w:rsid w:val="00796D38"/>
    <w:rsid w:val="007970B0"/>
    <w:rsid w:val="00797165"/>
    <w:rsid w:val="0079762D"/>
    <w:rsid w:val="00797908"/>
    <w:rsid w:val="00797A29"/>
    <w:rsid w:val="00797C02"/>
    <w:rsid w:val="00797E8B"/>
    <w:rsid w:val="007A07FC"/>
    <w:rsid w:val="007A0EC1"/>
    <w:rsid w:val="007A103D"/>
    <w:rsid w:val="007A10EE"/>
    <w:rsid w:val="007A111B"/>
    <w:rsid w:val="007A156A"/>
    <w:rsid w:val="007A15D7"/>
    <w:rsid w:val="007A175B"/>
    <w:rsid w:val="007A18C4"/>
    <w:rsid w:val="007A18DD"/>
    <w:rsid w:val="007A193F"/>
    <w:rsid w:val="007A1AAF"/>
    <w:rsid w:val="007A1BFD"/>
    <w:rsid w:val="007A1D3F"/>
    <w:rsid w:val="007A1E3D"/>
    <w:rsid w:val="007A1FFB"/>
    <w:rsid w:val="007A21BD"/>
    <w:rsid w:val="007A2578"/>
    <w:rsid w:val="007A2594"/>
    <w:rsid w:val="007A2642"/>
    <w:rsid w:val="007A2B87"/>
    <w:rsid w:val="007A2BD4"/>
    <w:rsid w:val="007A2BF3"/>
    <w:rsid w:val="007A2F2E"/>
    <w:rsid w:val="007A3194"/>
    <w:rsid w:val="007A35AF"/>
    <w:rsid w:val="007A3791"/>
    <w:rsid w:val="007A37B1"/>
    <w:rsid w:val="007A38E3"/>
    <w:rsid w:val="007A3B5B"/>
    <w:rsid w:val="007A3C6C"/>
    <w:rsid w:val="007A40E9"/>
    <w:rsid w:val="007A445E"/>
    <w:rsid w:val="007A4589"/>
    <w:rsid w:val="007A458A"/>
    <w:rsid w:val="007A4B28"/>
    <w:rsid w:val="007A548C"/>
    <w:rsid w:val="007A56CC"/>
    <w:rsid w:val="007A56F1"/>
    <w:rsid w:val="007A5F01"/>
    <w:rsid w:val="007A6153"/>
    <w:rsid w:val="007A618F"/>
    <w:rsid w:val="007A6219"/>
    <w:rsid w:val="007A69A6"/>
    <w:rsid w:val="007A6DCB"/>
    <w:rsid w:val="007A756B"/>
    <w:rsid w:val="007A75DC"/>
    <w:rsid w:val="007A7ABD"/>
    <w:rsid w:val="007A7D3B"/>
    <w:rsid w:val="007B016B"/>
    <w:rsid w:val="007B036B"/>
    <w:rsid w:val="007B04C6"/>
    <w:rsid w:val="007B0511"/>
    <w:rsid w:val="007B077E"/>
    <w:rsid w:val="007B086A"/>
    <w:rsid w:val="007B0B67"/>
    <w:rsid w:val="007B0BF8"/>
    <w:rsid w:val="007B0D90"/>
    <w:rsid w:val="007B0FE7"/>
    <w:rsid w:val="007B10C3"/>
    <w:rsid w:val="007B1752"/>
    <w:rsid w:val="007B1759"/>
    <w:rsid w:val="007B19C5"/>
    <w:rsid w:val="007B1ABE"/>
    <w:rsid w:val="007B1C23"/>
    <w:rsid w:val="007B1C43"/>
    <w:rsid w:val="007B1E76"/>
    <w:rsid w:val="007B2132"/>
    <w:rsid w:val="007B21BE"/>
    <w:rsid w:val="007B277D"/>
    <w:rsid w:val="007B295A"/>
    <w:rsid w:val="007B38D0"/>
    <w:rsid w:val="007B3935"/>
    <w:rsid w:val="007B3A1A"/>
    <w:rsid w:val="007B4574"/>
    <w:rsid w:val="007B477B"/>
    <w:rsid w:val="007B47CB"/>
    <w:rsid w:val="007B49E6"/>
    <w:rsid w:val="007B4DFC"/>
    <w:rsid w:val="007B5053"/>
    <w:rsid w:val="007B510D"/>
    <w:rsid w:val="007B5382"/>
    <w:rsid w:val="007B56F6"/>
    <w:rsid w:val="007B577D"/>
    <w:rsid w:val="007B5951"/>
    <w:rsid w:val="007B5C97"/>
    <w:rsid w:val="007B5D6B"/>
    <w:rsid w:val="007B5F4F"/>
    <w:rsid w:val="007B6143"/>
    <w:rsid w:val="007B65F9"/>
    <w:rsid w:val="007B72E8"/>
    <w:rsid w:val="007B73D6"/>
    <w:rsid w:val="007B7931"/>
    <w:rsid w:val="007B7AD3"/>
    <w:rsid w:val="007B7EC8"/>
    <w:rsid w:val="007B7F18"/>
    <w:rsid w:val="007C00F8"/>
    <w:rsid w:val="007C01DA"/>
    <w:rsid w:val="007C0BC4"/>
    <w:rsid w:val="007C0CBA"/>
    <w:rsid w:val="007C0F10"/>
    <w:rsid w:val="007C0FD5"/>
    <w:rsid w:val="007C11CB"/>
    <w:rsid w:val="007C1295"/>
    <w:rsid w:val="007C1D66"/>
    <w:rsid w:val="007C1F6A"/>
    <w:rsid w:val="007C2886"/>
    <w:rsid w:val="007C2E71"/>
    <w:rsid w:val="007C3044"/>
    <w:rsid w:val="007C3095"/>
    <w:rsid w:val="007C30C6"/>
    <w:rsid w:val="007C331C"/>
    <w:rsid w:val="007C3410"/>
    <w:rsid w:val="007C358D"/>
    <w:rsid w:val="007C36F5"/>
    <w:rsid w:val="007C3843"/>
    <w:rsid w:val="007C3875"/>
    <w:rsid w:val="007C4327"/>
    <w:rsid w:val="007C4420"/>
    <w:rsid w:val="007C45BC"/>
    <w:rsid w:val="007C4A1D"/>
    <w:rsid w:val="007C4BF3"/>
    <w:rsid w:val="007C4CA1"/>
    <w:rsid w:val="007C4F69"/>
    <w:rsid w:val="007C51A5"/>
    <w:rsid w:val="007C5295"/>
    <w:rsid w:val="007C5443"/>
    <w:rsid w:val="007C5492"/>
    <w:rsid w:val="007C5D1B"/>
    <w:rsid w:val="007C6187"/>
    <w:rsid w:val="007C6533"/>
    <w:rsid w:val="007C6774"/>
    <w:rsid w:val="007C684D"/>
    <w:rsid w:val="007C6A24"/>
    <w:rsid w:val="007C6ACC"/>
    <w:rsid w:val="007C6F93"/>
    <w:rsid w:val="007C70D1"/>
    <w:rsid w:val="007C7236"/>
    <w:rsid w:val="007C77FC"/>
    <w:rsid w:val="007C7808"/>
    <w:rsid w:val="007C7A5B"/>
    <w:rsid w:val="007C7ACA"/>
    <w:rsid w:val="007D004B"/>
    <w:rsid w:val="007D0582"/>
    <w:rsid w:val="007D061F"/>
    <w:rsid w:val="007D0B1E"/>
    <w:rsid w:val="007D0F45"/>
    <w:rsid w:val="007D125F"/>
    <w:rsid w:val="007D1532"/>
    <w:rsid w:val="007D17A3"/>
    <w:rsid w:val="007D1A04"/>
    <w:rsid w:val="007D1C01"/>
    <w:rsid w:val="007D1FC9"/>
    <w:rsid w:val="007D211D"/>
    <w:rsid w:val="007D23D2"/>
    <w:rsid w:val="007D2586"/>
    <w:rsid w:val="007D27FC"/>
    <w:rsid w:val="007D2DBC"/>
    <w:rsid w:val="007D3034"/>
    <w:rsid w:val="007D3170"/>
    <w:rsid w:val="007D31A8"/>
    <w:rsid w:val="007D32C4"/>
    <w:rsid w:val="007D33AE"/>
    <w:rsid w:val="007D366D"/>
    <w:rsid w:val="007D376F"/>
    <w:rsid w:val="007D39A5"/>
    <w:rsid w:val="007D3A52"/>
    <w:rsid w:val="007D3BB1"/>
    <w:rsid w:val="007D3F5D"/>
    <w:rsid w:val="007D41A4"/>
    <w:rsid w:val="007D4247"/>
    <w:rsid w:val="007D431C"/>
    <w:rsid w:val="007D435B"/>
    <w:rsid w:val="007D4657"/>
    <w:rsid w:val="007D4662"/>
    <w:rsid w:val="007D4A27"/>
    <w:rsid w:val="007D4A66"/>
    <w:rsid w:val="007D4BE3"/>
    <w:rsid w:val="007D509F"/>
    <w:rsid w:val="007D5E96"/>
    <w:rsid w:val="007D6033"/>
    <w:rsid w:val="007D6103"/>
    <w:rsid w:val="007D6823"/>
    <w:rsid w:val="007D6A8F"/>
    <w:rsid w:val="007D6C27"/>
    <w:rsid w:val="007D6DD0"/>
    <w:rsid w:val="007D6E28"/>
    <w:rsid w:val="007D7787"/>
    <w:rsid w:val="007D7CB2"/>
    <w:rsid w:val="007D7ED2"/>
    <w:rsid w:val="007E00F5"/>
    <w:rsid w:val="007E0A8E"/>
    <w:rsid w:val="007E0CC9"/>
    <w:rsid w:val="007E1492"/>
    <w:rsid w:val="007E14DD"/>
    <w:rsid w:val="007E1DCE"/>
    <w:rsid w:val="007E1E67"/>
    <w:rsid w:val="007E1EE2"/>
    <w:rsid w:val="007E1F10"/>
    <w:rsid w:val="007E1FFF"/>
    <w:rsid w:val="007E208F"/>
    <w:rsid w:val="007E2166"/>
    <w:rsid w:val="007E275F"/>
    <w:rsid w:val="007E30FA"/>
    <w:rsid w:val="007E3244"/>
    <w:rsid w:val="007E39DC"/>
    <w:rsid w:val="007E3B95"/>
    <w:rsid w:val="007E3DEF"/>
    <w:rsid w:val="007E3FE3"/>
    <w:rsid w:val="007E41E1"/>
    <w:rsid w:val="007E43C5"/>
    <w:rsid w:val="007E47B2"/>
    <w:rsid w:val="007E4881"/>
    <w:rsid w:val="007E5352"/>
    <w:rsid w:val="007E583A"/>
    <w:rsid w:val="007E594A"/>
    <w:rsid w:val="007E5A83"/>
    <w:rsid w:val="007E5B24"/>
    <w:rsid w:val="007E5C46"/>
    <w:rsid w:val="007E5EAF"/>
    <w:rsid w:val="007E5ECF"/>
    <w:rsid w:val="007E5F1E"/>
    <w:rsid w:val="007E61C5"/>
    <w:rsid w:val="007E66CB"/>
    <w:rsid w:val="007E6A7E"/>
    <w:rsid w:val="007E6C36"/>
    <w:rsid w:val="007E6DE0"/>
    <w:rsid w:val="007E6E88"/>
    <w:rsid w:val="007E6FF8"/>
    <w:rsid w:val="007E7357"/>
    <w:rsid w:val="007E73EB"/>
    <w:rsid w:val="007E773E"/>
    <w:rsid w:val="007E7876"/>
    <w:rsid w:val="007E7A8D"/>
    <w:rsid w:val="007E7ED4"/>
    <w:rsid w:val="007F03EC"/>
    <w:rsid w:val="007F0459"/>
    <w:rsid w:val="007F074E"/>
    <w:rsid w:val="007F1073"/>
    <w:rsid w:val="007F135E"/>
    <w:rsid w:val="007F15B2"/>
    <w:rsid w:val="007F18CA"/>
    <w:rsid w:val="007F18F7"/>
    <w:rsid w:val="007F1AE6"/>
    <w:rsid w:val="007F1EFB"/>
    <w:rsid w:val="007F2137"/>
    <w:rsid w:val="007F25B9"/>
    <w:rsid w:val="007F2601"/>
    <w:rsid w:val="007F2740"/>
    <w:rsid w:val="007F2810"/>
    <w:rsid w:val="007F2942"/>
    <w:rsid w:val="007F2B66"/>
    <w:rsid w:val="007F2DF8"/>
    <w:rsid w:val="007F2E32"/>
    <w:rsid w:val="007F3098"/>
    <w:rsid w:val="007F314D"/>
    <w:rsid w:val="007F329A"/>
    <w:rsid w:val="007F330F"/>
    <w:rsid w:val="007F3458"/>
    <w:rsid w:val="007F3504"/>
    <w:rsid w:val="007F3968"/>
    <w:rsid w:val="007F3993"/>
    <w:rsid w:val="007F3AB8"/>
    <w:rsid w:val="007F3D4C"/>
    <w:rsid w:val="007F45D1"/>
    <w:rsid w:val="007F4703"/>
    <w:rsid w:val="007F478F"/>
    <w:rsid w:val="007F4910"/>
    <w:rsid w:val="007F4CB2"/>
    <w:rsid w:val="007F4EFC"/>
    <w:rsid w:val="007F4F5F"/>
    <w:rsid w:val="007F571E"/>
    <w:rsid w:val="007F58D4"/>
    <w:rsid w:val="007F5A17"/>
    <w:rsid w:val="007F5C69"/>
    <w:rsid w:val="007F5D46"/>
    <w:rsid w:val="007F64DD"/>
    <w:rsid w:val="007F6707"/>
    <w:rsid w:val="007F6F31"/>
    <w:rsid w:val="007F7329"/>
    <w:rsid w:val="007F797E"/>
    <w:rsid w:val="007F79D4"/>
    <w:rsid w:val="007F79D5"/>
    <w:rsid w:val="007F7B6B"/>
    <w:rsid w:val="007F7BF6"/>
    <w:rsid w:val="007F7F15"/>
    <w:rsid w:val="0080014F"/>
    <w:rsid w:val="0080037A"/>
    <w:rsid w:val="00800816"/>
    <w:rsid w:val="0080091C"/>
    <w:rsid w:val="00800EB5"/>
    <w:rsid w:val="008014C9"/>
    <w:rsid w:val="00801937"/>
    <w:rsid w:val="00801E6E"/>
    <w:rsid w:val="00802233"/>
    <w:rsid w:val="0080228A"/>
    <w:rsid w:val="008027C7"/>
    <w:rsid w:val="00802932"/>
    <w:rsid w:val="00802991"/>
    <w:rsid w:val="00802BFC"/>
    <w:rsid w:val="00802DD9"/>
    <w:rsid w:val="008035ED"/>
    <w:rsid w:val="00803733"/>
    <w:rsid w:val="008038EC"/>
    <w:rsid w:val="00803E88"/>
    <w:rsid w:val="00803EF8"/>
    <w:rsid w:val="0080415C"/>
    <w:rsid w:val="00804230"/>
    <w:rsid w:val="00804260"/>
    <w:rsid w:val="008044F6"/>
    <w:rsid w:val="0080499C"/>
    <w:rsid w:val="00804B8D"/>
    <w:rsid w:val="00804F7B"/>
    <w:rsid w:val="00805804"/>
    <w:rsid w:val="0080610D"/>
    <w:rsid w:val="008061DF"/>
    <w:rsid w:val="00806290"/>
    <w:rsid w:val="008066E7"/>
    <w:rsid w:val="00806DBA"/>
    <w:rsid w:val="00806FCB"/>
    <w:rsid w:val="008072A2"/>
    <w:rsid w:val="008074A0"/>
    <w:rsid w:val="00807995"/>
    <w:rsid w:val="00807CCC"/>
    <w:rsid w:val="00807E45"/>
    <w:rsid w:val="00807FDC"/>
    <w:rsid w:val="008102BC"/>
    <w:rsid w:val="0081030A"/>
    <w:rsid w:val="00810416"/>
    <w:rsid w:val="00810451"/>
    <w:rsid w:val="0081070C"/>
    <w:rsid w:val="00810F74"/>
    <w:rsid w:val="0081106D"/>
    <w:rsid w:val="0081124A"/>
    <w:rsid w:val="00811348"/>
    <w:rsid w:val="00811753"/>
    <w:rsid w:val="00811837"/>
    <w:rsid w:val="008120B1"/>
    <w:rsid w:val="008123AA"/>
    <w:rsid w:val="0081273F"/>
    <w:rsid w:val="0081287B"/>
    <w:rsid w:val="00812AD4"/>
    <w:rsid w:val="00812DDB"/>
    <w:rsid w:val="00812DF2"/>
    <w:rsid w:val="00812FC5"/>
    <w:rsid w:val="00813392"/>
    <w:rsid w:val="0081350F"/>
    <w:rsid w:val="00813682"/>
    <w:rsid w:val="008137BC"/>
    <w:rsid w:val="00813D87"/>
    <w:rsid w:val="00814014"/>
    <w:rsid w:val="00814243"/>
    <w:rsid w:val="008145E1"/>
    <w:rsid w:val="008147FD"/>
    <w:rsid w:val="00814983"/>
    <w:rsid w:val="008149EC"/>
    <w:rsid w:val="00814C6F"/>
    <w:rsid w:val="0081529D"/>
    <w:rsid w:val="008157C5"/>
    <w:rsid w:val="00815C8B"/>
    <w:rsid w:val="00815CBE"/>
    <w:rsid w:val="00815F0E"/>
    <w:rsid w:val="00816006"/>
    <w:rsid w:val="00816132"/>
    <w:rsid w:val="0081629E"/>
    <w:rsid w:val="008164D4"/>
    <w:rsid w:val="0081654D"/>
    <w:rsid w:val="0081699E"/>
    <w:rsid w:val="008169BD"/>
    <w:rsid w:val="00816A53"/>
    <w:rsid w:val="00816FFA"/>
    <w:rsid w:val="00817067"/>
    <w:rsid w:val="0081798F"/>
    <w:rsid w:val="00817991"/>
    <w:rsid w:val="00817BAA"/>
    <w:rsid w:val="00817BB3"/>
    <w:rsid w:val="00817CF1"/>
    <w:rsid w:val="00817F47"/>
    <w:rsid w:val="008201F1"/>
    <w:rsid w:val="008202D8"/>
    <w:rsid w:val="008202F8"/>
    <w:rsid w:val="008203C8"/>
    <w:rsid w:val="008204CF"/>
    <w:rsid w:val="00820893"/>
    <w:rsid w:val="00820CC0"/>
    <w:rsid w:val="00820DB1"/>
    <w:rsid w:val="0082126E"/>
    <w:rsid w:val="00821AD5"/>
    <w:rsid w:val="008225F6"/>
    <w:rsid w:val="008226F0"/>
    <w:rsid w:val="00822A8E"/>
    <w:rsid w:val="00822B0A"/>
    <w:rsid w:val="00822D71"/>
    <w:rsid w:val="0082330F"/>
    <w:rsid w:val="0082332F"/>
    <w:rsid w:val="00823386"/>
    <w:rsid w:val="0082343C"/>
    <w:rsid w:val="00824380"/>
    <w:rsid w:val="00824573"/>
    <w:rsid w:val="008246CB"/>
    <w:rsid w:val="00824A42"/>
    <w:rsid w:val="00824A58"/>
    <w:rsid w:val="00824AA0"/>
    <w:rsid w:val="00825771"/>
    <w:rsid w:val="008257CB"/>
    <w:rsid w:val="00825ACF"/>
    <w:rsid w:val="00825B04"/>
    <w:rsid w:val="0082600C"/>
    <w:rsid w:val="0082616A"/>
    <w:rsid w:val="0082648F"/>
    <w:rsid w:val="0082679D"/>
    <w:rsid w:val="008267DF"/>
    <w:rsid w:val="00826BDF"/>
    <w:rsid w:val="00827307"/>
    <w:rsid w:val="008273A0"/>
    <w:rsid w:val="00827505"/>
    <w:rsid w:val="0082759F"/>
    <w:rsid w:val="0082767C"/>
    <w:rsid w:val="00827B2C"/>
    <w:rsid w:val="00827C98"/>
    <w:rsid w:val="0083009F"/>
    <w:rsid w:val="00830287"/>
    <w:rsid w:val="0083034D"/>
    <w:rsid w:val="008305D2"/>
    <w:rsid w:val="00830644"/>
    <w:rsid w:val="008308CE"/>
    <w:rsid w:val="008309A9"/>
    <w:rsid w:val="00830D9F"/>
    <w:rsid w:val="00830DD4"/>
    <w:rsid w:val="00830E38"/>
    <w:rsid w:val="00830ED9"/>
    <w:rsid w:val="00830FF9"/>
    <w:rsid w:val="008314B0"/>
    <w:rsid w:val="0083160B"/>
    <w:rsid w:val="00831D19"/>
    <w:rsid w:val="00831DC2"/>
    <w:rsid w:val="00831E1C"/>
    <w:rsid w:val="00831E5A"/>
    <w:rsid w:val="00832236"/>
    <w:rsid w:val="00832697"/>
    <w:rsid w:val="0083305F"/>
    <w:rsid w:val="008330EA"/>
    <w:rsid w:val="008331A0"/>
    <w:rsid w:val="008336FF"/>
    <w:rsid w:val="0083377A"/>
    <w:rsid w:val="00833801"/>
    <w:rsid w:val="00833977"/>
    <w:rsid w:val="00833A6F"/>
    <w:rsid w:val="00833BA6"/>
    <w:rsid w:val="00833C38"/>
    <w:rsid w:val="00833F65"/>
    <w:rsid w:val="00833FEE"/>
    <w:rsid w:val="00834274"/>
    <w:rsid w:val="008342CF"/>
    <w:rsid w:val="00834348"/>
    <w:rsid w:val="00834420"/>
    <w:rsid w:val="00834687"/>
    <w:rsid w:val="00834A55"/>
    <w:rsid w:val="00834E6A"/>
    <w:rsid w:val="00834F18"/>
    <w:rsid w:val="00835144"/>
    <w:rsid w:val="00835308"/>
    <w:rsid w:val="008355F9"/>
    <w:rsid w:val="00835673"/>
    <w:rsid w:val="00835834"/>
    <w:rsid w:val="00835930"/>
    <w:rsid w:val="00835D44"/>
    <w:rsid w:val="00835EF9"/>
    <w:rsid w:val="008361B3"/>
    <w:rsid w:val="00836379"/>
    <w:rsid w:val="008369D7"/>
    <w:rsid w:val="00836A5B"/>
    <w:rsid w:val="00837035"/>
    <w:rsid w:val="0083713D"/>
    <w:rsid w:val="008371AA"/>
    <w:rsid w:val="00837214"/>
    <w:rsid w:val="0083737F"/>
    <w:rsid w:val="00837BA0"/>
    <w:rsid w:val="00837CFA"/>
    <w:rsid w:val="00840051"/>
    <w:rsid w:val="0084005E"/>
    <w:rsid w:val="00840135"/>
    <w:rsid w:val="00840309"/>
    <w:rsid w:val="00840918"/>
    <w:rsid w:val="00840FDA"/>
    <w:rsid w:val="008410C9"/>
    <w:rsid w:val="00841179"/>
    <w:rsid w:val="00841503"/>
    <w:rsid w:val="00841702"/>
    <w:rsid w:val="00841927"/>
    <w:rsid w:val="00841C1C"/>
    <w:rsid w:val="00841C83"/>
    <w:rsid w:val="00842008"/>
    <w:rsid w:val="0084225C"/>
    <w:rsid w:val="008424AD"/>
    <w:rsid w:val="0084332D"/>
    <w:rsid w:val="00843640"/>
    <w:rsid w:val="0084383E"/>
    <w:rsid w:val="008438B6"/>
    <w:rsid w:val="0084393A"/>
    <w:rsid w:val="00843B46"/>
    <w:rsid w:val="00843D73"/>
    <w:rsid w:val="00843F73"/>
    <w:rsid w:val="00844015"/>
    <w:rsid w:val="008441CE"/>
    <w:rsid w:val="00844524"/>
    <w:rsid w:val="008445C8"/>
    <w:rsid w:val="0084467E"/>
    <w:rsid w:val="00844ABE"/>
    <w:rsid w:val="00844B91"/>
    <w:rsid w:val="00844DAD"/>
    <w:rsid w:val="00844F4B"/>
    <w:rsid w:val="00845058"/>
    <w:rsid w:val="0084597F"/>
    <w:rsid w:val="00845A75"/>
    <w:rsid w:val="00845B7A"/>
    <w:rsid w:val="00845BA6"/>
    <w:rsid w:val="00845E65"/>
    <w:rsid w:val="0084630F"/>
    <w:rsid w:val="0084666A"/>
    <w:rsid w:val="00846691"/>
    <w:rsid w:val="00846CE7"/>
    <w:rsid w:val="00846D00"/>
    <w:rsid w:val="00846EA1"/>
    <w:rsid w:val="008470ED"/>
    <w:rsid w:val="008471FA"/>
    <w:rsid w:val="00847219"/>
    <w:rsid w:val="00847476"/>
    <w:rsid w:val="00847734"/>
    <w:rsid w:val="008478B4"/>
    <w:rsid w:val="00847976"/>
    <w:rsid w:val="008501C2"/>
    <w:rsid w:val="00850583"/>
    <w:rsid w:val="00850B21"/>
    <w:rsid w:val="00850CE7"/>
    <w:rsid w:val="00850D96"/>
    <w:rsid w:val="00851087"/>
    <w:rsid w:val="008511E7"/>
    <w:rsid w:val="00851785"/>
    <w:rsid w:val="008517BC"/>
    <w:rsid w:val="00851B00"/>
    <w:rsid w:val="00851CD0"/>
    <w:rsid w:val="00851E7D"/>
    <w:rsid w:val="0085217B"/>
    <w:rsid w:val="00852693"/>
    <w:rsid w:val="008527CB"/>
    <w:rsid w:val="00852901"/>
    <w:rsid w:val="00852BD6"/>
    <w:rsid w:val="00853201"/>
    <w:rsid w:val="00853275"/>
    <w:rsid w:val="0085362A"/>
    <w:rsid w:val="008537A8"/>
    <w:rsid w:val="00853DF0"/>
    <w:rsid w:val="00853E51"/>
    <w:rsid w:val="0085414C"/>
    <w:rsid w:val="008545FF"/>
    <w:rsid w:val="00854AB5"/>
    <w:rsid w:val="00854AC2"/>
    <w:rsid w:val="008554EF"/>
    <w:rsid w:val="00855A1E"/>
    <w:rsid w:val="00856BBD"/>
    <w:rsid w:val="00856F22"/>
    <w:rsid w:val="00857129"/>
    <w:rsid w:val="0085718A"/>
    <w:rsid w:val="008571DA"/>
    <w:rsid w:val="008572F2"/>
    <w:rsid w:val="008576CD"/>
    <w:rsid w:val="00857975"/>
    <w:rsid w:val="00857A92"/>
    <w:rsid w:val="00857EA1"/>
    <w:rsid w:val="00857EB4"/>
    <w:rsid w:val="00857F9B"/>
    <w:rsid w:val="00860880"/>
    <w:rsid w:val="00860D79"/>
    <w:rsid w:val="00860F9A"/>
    <w:rsid w:val="00861319"/>
    <w:rsid w:val="008613E0"/>
    <w:rsid w:val="0086163D"/>
    <w:rsid w:val="00861C1A"/>
    <w:rsid w:val="00861CD4"/>
    <w:rsid w:val="00861EC7"/>
    <w:rsid w:val="00861F4D"/>
    <w:rsid w:val="00862094"/>
    <w:rsid w:val="008620CF"/>
    <w:rsid w:val="00862283"/>
    <w:rsid w:val="00862434"/>
    <w:rsid w:val="00862ABD"/>
    <w:rsid w:val="00862BAE"/>
    <w:rsid w:val="00862BC3"/>
    <w:rsid w:val="00862C4B"/>
    <w:rsid w:val="00862CC9"/>
    <w:rsid w:val="00862DD4"/>
    <w:rsid w:val="008630C3"/>
    <w:rsid w:val="00863236"/>
    <w:rsid w:val="008633F3"/>
    <w:rsid w:val="00863803"/>
    <w:rsid w:val="00863A21"/>
    <w:rsid w:val="00863C74"/>
    <w:rsid w:val="00863F61"/>
    <w:rsid w:val="00864105"/>
    <w:rsid w:val="008644C1"/>
    <w:rsid w:val="00864863"/>
    <w:rsid w:val="008649FA"/>
    <w:rsid w:val="00864C3E"/>
    <w:rsid w:val="00865243"/>
    <w:rsid w:val="00865247"/>
    <w:rsid w:val="00865374"/>
    <w:rsid w:val="008658C0"/>
    <w:rsid w:val="008659D6"/>
    <w:rsid w:val="00865A5A"/>
    <w:rsid w:val="00865AD0"/>
    <w:rsid w:val="00865B41"/>
    <w:rsid w:val="00865C17"/>
    <w:rsid w:val="00866237"/>
    <w:rsid w:val="008662B3"/>
    <w:rsid w:val="00866862"/>
    <w:rsid w:val="00866A34"/>
    <w:rsid w:val="00866CD9"/>
    <w:rsid w:val="00867238"/>
    <w:rsid w:val="008675BD"/>
    <w:rsid w:val="008676C0"/>
    <w:rsid w:val="00867D4C"/>
    <w:rsid w:val="0087061F"/>
    <w:rsid w:val="00870734"/>
    <w:rsid w:val="00870D9A"/>
    <w:rsid w:val="008711C0"/>
    <w:rsid w:val="00871276"/>
    <w:rsid w:val="0087153B"/>
    <w:rsid w:val="00871720"/>
    <w:rsid w:val="008717A1"/>
    <w:rsid w:val="00871A28"/>
    <w:rsid w:val="00871E25"/>
    <w:rsid w:val="00871F3B"/>
    <w:rsid w:val="00871F76"/>
    <w:rsid w:val="00872235"/>
    <w:rsid w:val="008725CD"/>
    <w:rsid w:val="0087311A"/>
    <w:rsid w:val="008731F2"/>
    <w:rsid w:val="00873264"/>
    <w:rsid w:val="00873533"/>
    <w:rsid w:val="00873792"/>
    <w:rsid w:val="008738D0"/>
    <w:rsid w:val="00873A17"/>
    <w:rsid w:val="00874083"/>
    <w:rsid w:val="008742AD"/>
    <w:rsid w:val="008742FC"/>
    <w:rsid w:val="00874854"/>
    <w:rsid w:val="00874860"/>
    <w:rsid w:val="00874BF7"/>
    <w:rsid w:val="00874C70"/>
    <w:rsid w:val="00874D21"/>
    <w:rsid w:val="00874FF5"/>
    <w:rsid w:val="0087504F"/>
    <w:rsid w:val="008750B6"/>
    <w:rsid w:val="00875173"/>
    <w:rsid w:val="008751C0"/>
    <w:rsid w:val="00875256"/>
    <w:rsid w:val="008754F8"/>
    <w:rsid w:val="008756FC"/>
    <w:rsid w:val="008758BF"/>
    <w:rsid w:val="00875B2A"/>
    <w:rsid w:val="0087609B"/>
    <w:rsid w:val="008760EE"/>
    <w:rsid w:val="0087610E"/>
    <w:rsid w:val="008763BF"/>
    <w:rsid w:val="00876432"/>
    <w:rsid w:val="00876720"/>
    <w:rsid w:val="00876731"/>
    <w:rsid w:val="00876859"/>
    <w:rsid w:val="00876C78"/>
    <w:rsid w:val="00876D47"/>
    <w:rsid w:val="0087700E"/>
    <w:rsid w:val="00877D11"/>
    <w:rsid w:val="00877D2C"/>
    <w:rsid w:val="00877D57"/>
    <w:rsid w:val="00877E70"/>
    <w:rsid w:val="008803FA"/>
    <w:rsid w:val="008807CA"/>
    <w:rsid w:val="0088097C"/>
    <w:rsid w:val="008809FF"/>
    <w:rsid w:val="00880ECF"/>
    <w:rsid w:val="008813C3"/>
    <w:rsid w:val="008814D1"/>
    <w:rsid w:val="008816C6"/>
    <w:rsid w:val="00881EB9"/>
    <w:rsid w:val="0088229A"/>
    <w:rsid w:val="00882861"/>
    <w:rsid w:val="00882B3F"/>
    <w:rsid w:val="00882B9C"/>
    <w:rsid w:val="00882DEA"/>
    <w:rsid w:val="00882E01"/>
    <w:rsid w:val="00882F0A"/>
    <w:rsid w:val="008830E3"/>
    <w:rsid w:val="00883413"/>
    <w:rsid w:val="008834E9"/>
    <w:rsid w:val="0088352F"/>
    <w:rsid w:val="008835B4"/>
    <w:rsid w:val="0088382C"/>
    <w:rsid w:val="00883A4D"/>
    <w:rsid w:val="008847DE"/>
    <w:rsid w:val="00884B69"/>
    <w:rsid w:val="00884D23"/>
    <w:rsid w:val="00884D3D"/>
    <w:rsid w:val="00884E0A"/>
    <w:rsid w:val="00885297"/>
    <w:rsid w:val="008855BE"/>
    <w:rsid w:val="008859C5"/>
    <w:rsid w:val="00885B6C"/>
    <w:rsid w:val="00885D38"/>
    <w:rsid w:val="00885FFA"/>
    <w:rsid w:val="00886357"/>
    <w:rsid w:val="008865DE"/>
    <w:rsid w:val="00886634"/>
    <w:rsid w:val="0088663E"/>
    <w:rsid w:val="00886793"/>
    <w:rsid w:val="008868F9"/>
    <w:rsid w:val="008869AF"/>
    <w:rsid w:val="00886A22"/>
    <w:rsid w:val="00886B10"/>
    <w:rsid w:val="0088700C"/>
    <w:rsid w:val="008877CD"/>
    <w:rsid w:val="00887904"/>
    <w:rsid w:val="00887BFE"/>
    <w:rsid w:val="00887C22"/>
    <w:rsid w:val="00887EB3"/>
    <w:rsid w:val="00890532"/>
    <w:rsid w:val="00890582"/>
    <w:rsid w:val="00890701"/>
    <w:rsid w:val="00890A01"/>
    <w:rsid w:val="00890B07"/>
    <w:rsid w:val="00890C2E"/>
    <w:rsid w:val="00890D68"/>
    <w:rsid w:val="00890EDD"/>
    <w:rsid w:val="00890EF2"/>
    <w:rsid w:val="0089119E"/>
    <w:rsid w:val="00891472"/>
    <w:rsid w:val="008914D3"/>
    <w:rsid w:val="0089161D"/>
    <w:rsid w:val="00891A98"/>
    <w:rsid w:val="00891C39"/>
    <w:rsid w:val="00892116"/>
    <w:rsid w:val="008927BB"/>
    <w:rsid w:val="008929D4"/>
    <w:rsid w:val="00892C55"/>
    <w:rsid w:val="008933DD"/>
    <w:rsid w:val="0089350C"/>
    <w:rsid w:val="008935EE"/>
    <w:rsid w:val="0089398A"/>
    <w:rsid w:val="00893B0E"/>
    <w:rsid w:val="00893E91"/>
    <w:rsid w:val="00894140"/>
    <w:rsid w:val="008941A8"/>
    <w:rsid w:val="0089422A"/>
    <w:rsid w:val="008942C9"/>
    <w:rsid w:val="008943FE"/>
    <w:rsid w:val="00894BCA"/>
    <w:rsid w:val="00894E8C"/>
    <w:rsid w:val="0089508E"/>
    <w:rsid w:val="008954FA"/>
    <w:rsid w:val="008963A7"/>
    <w:rsid w:val="00896431"/>
    <w:rsid w:val="0089660A"/>
    <w:rsid w:val="00896711"/>
    <w:rsid w:val="00896C39"/>
    <w:rsid w:val="00896C4A"/>
    <w:rsid w:val="00896E5C"/>
    <w:rsid w:val="008971C9"/>
    <w:rsid w:val="008971E7"/>
    <w:rsid w:val="0089732F"/>
    <w:rsid w:val="008975A0"/>
    <w:rsid w:val="00897B29"/>
    <w:rsid w:val="00897B76"/>
    <w:rsid w:val="00897E79"/>
    <w:rsid w:val="00897EE7"/>
    <w:rsid w:val="008A03DB"/>
    <w:rsid w:val="008A0412"/>
    <w:rsid w:val="008A0454"/>
    <w:rsid w:val="008A04FB"/>
    <w:rsid w:val="008A06A6"/>
    <w:rsid w:val="008A09B0"/>
    <w:rsid w:val="008A115C"/>
    <w:rsid w:val="008A18E1"/>
    <w:rsid w:val="008A1AA3"/>
    <w:rsid w:val="008A1F63"/>
    <w:rsid w:val="008A21F6"/>
    <w:rsid w:val="008A260D"/>
    <w:rsid w:val="008A2B50"/>
    <w:rsid w:val="008A2D27"/>
    <w:rsid w:val="008A2EAD"/>
    <w:rsid w:val="008A2F42"/>
    <w:rsid w:val="008A3161"/>
    <w:rsid w:val="008A3394"/>
    <w:rsid w:val="008A33E3"/>
    <w:rsid w:val="008A3B13"/>
    <w:rsid w:val="008A3EF6"/>
    <w:rsid w:val="008A40A6"/>
    <w:rsid w:val="008A4537"/>
    <w:rsid w:val="008A4906"/>
    <w:rsid w:val="008A490D"/>
    <w:rsid w:val="008A4CD6"/>
    <w:rsid w:val="008A4CD9"/>
    <w:rsid w:val="008A4EC5"/>
    <w:rsid w:val="008A50DA"/>
    <w:rsid w:val="008A5140"/>
    <w:rsid w:val="008A54BC"/>
    <w:rsid w:val="008A5BC4"/>
    <w:rsid w:val="008A5CD0"/>
    <w:rsid w:val="008A5D96"/>
    <w:rsid w:val="008A601B"/>
    <w:rsid w:val="008A604D"/>
    <w:rsid w:val="008A6206"/>
    <w:rsid w:val="008A638E"/>
    <w:rsid w:val="008A6509"/>
    <w:rsid w:val="008A66C8"/>
    <w:rsid w:val="008A6949"/>
    <w:rsid w:val="008A6A8E"/>
    <w:rsid w:val="008A6AAF"/>
    <w:rsid w:val="008A6B99"/>
    <w:rsid w:val="008A6DFD"/>
    <w:rsid w:val="008A7085"/>
    <w:rsid w:val="008A71E3"/>
    <w:rsid w:val="008A7217"/>
    <w:rsid w:val="008A7688"/>
    <w:rsid w:val="008A7751"/>
    <w:rsid w:val="008A7C52"/>
    <w:rsid w:val="008A7ECC"/>
    <w:rsid w:val="008A7F31"/>
    <w:rsid w:val="008B083C"/>
    <w:rsid w:val="008B0DAE"/>
    <w:rsid w:val="008B0E81"/>
    <w:rsid w:val="008B0E8F"/>
    <w:rsid w:val="008B15FF"/>
    <w:rsid w:val="008B1BA3"/>
    <w:rsid w:val="008B209C"/>
    <w:rsid w:val="008B21CE"/>
    <w:rsid w:val="008B29E9"/>
    <w:rsid w:val="008B2ACA"/>
    <w:rsid w:val="008B2ADE"/>
    <w:rsid w:val="008B2E87"/>
    <w:rsid w:val="008B340A"/>
    <w:rsid w:val="008B3717"/>
    <w:rsid w:val="008B3817"/>
    <w:rsid w:val="008B3895"/>
    <w:rsid w:val="008B3CAC"/>
    <w:rsid w:val="008B3DEA"/>
    <w:rsid w:val="008B40FE"/>
    <w:rsid w:val="008B415E"/>
    <w:rsid w:val="008B443A"/>
    <w:rsid w:val="008B44DB"/>
    <w:rsid w:val="008B46F4"/>
    <w:rsid w:val="008B492F"/>
    <w:rsid w:val="008B4BBC"/>
    <w:rsid w:val="008B4D29"/>
    <w:rsid w:val="008B4D7B"/>
    <w:rsid w:val="008B508D"/>
    <w:rsid w:val="008B51B8"/>
    <w:rsid w:val="008B5B52"/>
    <w:rsid w:val="008B5BA2"/>
    <w:rsid w:val="008B61CC"/>
    <w:rsid w:val="008B6215"/>
    <w:rsid w:val="008B65F8"/>
    <w:rsid w:val="008B6723"/>
    <w:rsid w:val="008B6BE1"/>
    <w:rsid w:val="008B6D11"/>
    <w:rsid w:val="008B7005"/>
    <w:rsid w:val="008B7131"/>
    <w:rsid w:val="008B7336"/>
    <w:rsid w:val="008B7913"/>
    <w:rsid w:val="008B7916"/>
    <w:rsid w:val="008B79D9"/>
    <w:rsid w:val="008B7C1A"/>
    <w:rsid w:val="008B7D46"/>
    <w:rsid w:val="008B7D8E"/>
    <w:rsid w:val="008B7E7A"/>
    <w:rsid w:val="008B7F37"/>
    <w:rsid w:val="008C005F"/>
    <w:rsid w:val="008C076A"/>
    <w:rsid w:val="008C07C9"/>
    <w:rsid w:val="008C0C3E"/>
    <w:rsid w:val="008C0D9D"/>
    <w:rsid w:val="008C0DA5"/>
    <w:rsid w:val="008C1059"/>
    <w:rsid w:val="008C1191"/>
    <w:rsid w:val="008C1563"/>
    <w:rsid w:val="008C1A8C"/>
    <w:rsid w:val="008C1AB4"/>
    <w:rsid w:val="008C21AF"/>
    <w:rsid w:val="008C2213"/>
    <w:rsid w:val="008C24F4"/>
    <w:rsid w:val="008C2765"/>
    <w:rsid w:val="008C292D"/>
    <w:rsid w:val="008C2B24"/>
    <w:rsid w:val="008C2D21"/>
    <w:rsid w:val="008C2E92"/>
    <w:rsid w:val="008C30A2"/>
    <w:rsid w:val="008C3245"/>
    <w:rsid w:val="008C3591"/>
    <w:rsid w:val="008C360A"/>
    <w:rsid w:val="008C3795"/>
    <w:rsid w:val="008C39E8"/>
    <w:rsid w:val="008C3EA5"/>
    <w:rsid w:val="008C432F"/>
    <w:rsid w:val="008C46C5"/>
    <w:rsid w:val="008C47FA"/>
    <w:rsid w:val="008C4DC8"/>
    <w:rsid w:val="008C4F3D"/>
    <w:rsid w:val="008C4FBB"/>
    <w:rsid w:val="008C5164"/>
    <w:rsid w:val="008C59C4"/>
    <w:rsid w:val="008C5C5A"/>
    <w:rsid w:val="008C619C"/>
    <w:rsid w:val="008C62D2"/>
    <w:rsid w:val="008C66C2"/>
    <w:rsid w:val="008C67BB"/>
    <w:rsid w:val="008C6BD6"/>
    <w:rsid w:val="008C6C8A"/>
    <w:rsid w:val="008C711F"/>
    <w:rsid w:val="008C7668"/>
    <w:rsid w:val="008C77CE"/>
    <w:rsid w:val="008C7908"/>
    <w:rsid w:val="008C79C9"/>
    <w:rsid w:val="008C7A1D"/>
    <w:rsid w:val="008C7B9A"/>
    <w:rsid w:val="008C7CEF"/>
    <w:rsid w:val="008C7DF5"/>
    <w:rsid w:val="008C7ED3"/>
    <w:rsid w:val="008C7FF2"/>
    <w:rsid w:val="008D006E"/>
    <w:rsid w:val="008D0075"/>
    <w:rsid w:val="008D0112"/>
    <w:rsid w:val="008D0581"/>
    <w:rsid w:val="008D0B66"/>
    <w:rsid w:val="008D0B99"/>
    <w:rsid w:val="008D1079"/>
    <w:rsid w:val="008D115D"/>
    <w:rsid w:val="008D143C"/>
    <w:rsid w:val="008D164F"/>
    <w:rsid w:val="008D1757"/>
    <w:rsid w:val="008D1AF1"/>
    <w:rsid w:val="008D1C53"/>
    <w:rsid w:val="008D1FEB"/>
    <w:rsid w:val="008D245A"/>
    <w:rsid w:val="008D24E6"/>
    <w:rsid w:val="008D2504"/>
    <w:rsid w:val="008D25C4"/>
    <w:rsid w:val="008D27F8"/>
    <w:rsid w:val="008D2825"/>
    <w:rsid w:val="008D284C"/>
    <w:rsid w:val="008D28B2"/>
    <w:rsid w:val="008D2E25"/>
    <w:rsid w:val="008D2EFC"/>
    <w:rsid w:val="008D30EC"/>
    <w:rsid w:val="008D3132"/>
    <w:rsid w:val="008D3187"/>
    <w:rsid w:val="008D31F7"/>
    <w:rsid w:val="008D328C"/>
    <w:rsid w:val="008D355D"/>
    <w:rsid w:val="008D35F3"/>
    <w:rsid w:val="008D37AD"/>
    <w:rsid w:val="008D3A5D"/>
    <w:rsid w:val="008D3A98"/>
    <w:rsid w:val="008D3C6D"/>
    <w:rsid w:val="008D3DBC"/>
    <w:rsid w:val="008D3E94"/>
    <w:rsid w:val="008D3F19"/>
    <w:rsid w:val="008D43BA"/>
    <w:rsid w:val="008D4456"/>
    <w:rsid w:val="008D45A5"/>
    <w:rsid w:val="008D4847"/>
    <w:rsid w:val="008D4B69"/>
    <w:rsid w:val="008D57B2"/>
    <w:rsid w:val="008D5D94"/>
    <w:rsid w:val="008D5EF5"/>
    <w:rsid w:val="008D65EB"/>
    <w:rsid w:val="008D6AD8"/>
    <w:rsid w:val="008D6E20"/>
    <w:rsid w:val="008D6F3D"/>
    <w:rsid w:val="008D7141"/>
    <w:rsid w:val="008D734B"/>
    <w:rsid w:val="008D7A3F"/>
    <w:rsid w:val="008D7C29"/>
    <w:rsid w:val="008E01CC"/>
    <w:rsid w:val="008E040B"/>
    <w:rsid w:val="008E09C7"/>
    <w:rsid w:val="008E0ACD"/>
    <w:rsid w:val="008E0C8C"/>
    <w:rsid w:val="008E0F29"/>
    <w:rsid w:val="008E1185"/>
    <w:rsid w:val="008E176E"/>
    <w:rsid w:val="008E1972"/>
    <w:rsid w:val="008E1A6F"/>
    <w:rsid w:val="008E1A87"/>
    <w:rsid w:val="008E1CDE"/>
    <w:rsid w:val="008E1D99"/>
    <w:rsid w:val="008E215A"/>
    <w:rsid w:val="008E2A54"/>
    <w:rsid w:val="008E2ADC"/>
    <w:rsid w:val="008E3E43"/>
    <w:rsid w:val="008E4135"/>
    <w:rsid w:val="008E422C"/>
    <w:rsid w:val="008E4341"/>
    <w:rsid w:val="008E441F"/>
    <w:rsid w:val="008E44AB"/>
    <w:rsid w:val="008E4695"/>
    <w:rsid w:val="008E4CD7"/>
    <w:rsid w:val="008E4EA7"/>
    <w:rsid w:val="008E5098"/>
    <w:rsid w:val="008E5233"/>
    <w:rsid w:val="008E523B"/>
    <w:rsid w:val="008E550D"/>
    <w:rsid w:val="008E5B05"/>
    <w:rsid w:val="008E5BDA"/>
    <w:rsid w:val="008E5C29"/>
    <w:rsid w:val="008E5D1C"/>
    <w:rsid w:val="008E5E04"/>
    <w:rsid w:val="008E5E25"/>
    <w:rsid w:val="008E61AD"/>
    <w:rsid w:val="008E6820"/>
    <w:rsid w:val="008E6B91"/>
    <w:rsid w:val="008E6E64"/>
    <w:rsid w:val="008E6F18"/>
    <w:rsid w:val="008E6F57"/>
    <w:rsid w:val="008E6F5D"/>
    <w:rsid w:val="008E70A6"/>
    <w:rsid w:val="008E7101"/>
    <w:rsid w:val="008E7298"/>
    <w:rsid w:val="008E7B84"/>
    <w:rsid w:val="008E7DC5"/>
    <w:rsid w:val="008F0777"/>
    <w:rsid w:val="008F1A50"/>
    <w:rsid w:val="008F1AE9"/>
    <w:rsid w:val="008F1C8B"/>
    <w:rsid w:val="008F1E15"/>
    <w:rsid w:val="008F2187"/>
    <w:rsid w:val="008F21DF"/>
    <w:rsid w:val="008F22F6"/>
    <w:rsid w:val="008F282C"/>
    <w:rsid w:val="008F29C0"/>
    <w:rsid w:val="008F29C7"/>
    <w:rsid w:val="008F2A32"/>
    <w:rsid w:val="008F2D8C"/>
    <w:rsid w:val="008F33F9"/>
    <w:rsid w:val="008F39C7"/>
    <w:rsid w:val="008F3E0D"/>
    <w:rsid w:val="008F417D"/>
    <w:rsid w:val="008F41BB"/>
    <w:rsid w:val="008F4249"/>
    <w:rsid w:val="008F4449"/>
    <w:rsid w:val="008F450C"/>
    <w:rsid w:val="008F4791"/>
    <w:rsid w:val="008F47C0"/>
    <w:rsid w:val="008F47C3"/>
    <w:rsid w:val="008F5024"/>
    <w:rsid w:val="008F5081"/>
    <w:rsid w:val="008F54E8"/>
    <w:rsid w:val="008F5617"/>
    <w:rsid w:val="008F57DD"/>
    <w:rsid w:val="008F596A"/>
    <w:rsid w:val="008F5CB4"/>
    <w:rsid w:val="008F5D3D"/>
    <w:rsid w:val="008F614C"/>
    <w:rsid w:val="008F6CF9"/>
    <w:rsid w:val="008F6FCA"/>
    <w:rsid w:val="008F717E"/>
    <w:rsid w:val="008F74FA"/>
    <w:rsid w:val="008F77AE"/>
    <w:rsid w:val="008F7B47"/>
    <w:rsid w:val="008F7F50"/>
    <w:rsid w:val="00900310"/>
    <w:rsid w:val="009004C1"/>
    <w:rsid w:val="0090058F"/>
    <w:rsid w:val="009005AC"/>
    <w:rsid w:val="00900666"/>
    <w:rsid w:val="00900931"/>
    <w:rsid w:val="009009C0"/>
    <w:rsid w:val="00900B4D"/>
    <w:rsid w:val="00900EFC"/>
    <w:rsid w:val="009010C7"/>
    <w:rsid w:val="0090116D"/>
    <w:rsid w:val="009019A5"/>
    <w:rsid w:val="00901D85"/>
    <w:rsid w:val="00901F48"/>
    <w:rsid w:val="00901FFE"/>
    <w:rsid w:val="0090211B"/>
    <w:rsid w:val="00902201"/>
    <w:rsid w:val="0090240E"/>
    <w:rsid w:val="009025D9"/>
    <w:rsid w:val="009026AA"/>
    <w:rsid w:val="009030FB"/>
    <w:rsid w:val="009034AF"/>
    <w:rsid w:val="0090354C"/>
    <w:rsid w:val="00903745"/>
    <w:rsid w:val="0090379E"/>
    <w:rsid w:val="009037CF"/>
    <w:rsid w:val="00903A51"/>
    <w:rsid w:val="00903E8A"/>
    <w:rsid w:val="00903EAE"/>
    <w:rsid w:val="00903F6A"/>
    <w:rsid w:val="009041C9"/>
    <w:rsid w:val="00904B91"/>
    <w:rsid w:val="00904BDF"/>
    <w:rsid w:val="00905084"/>
    <w:rsid w:val="00905278"/>
    <w:rsid w:val="00905342"/>
    <w:rsid w:val="0090540A"/>
    <w:rsid w:val="0090548F"/>
    <w:rsid w:val="009056D3"/>
    <w:rsid w:val="0090577B"/>
    <w:rsid w:val="009059F5"/>
    <w:rsid w:val="00905D2F"/>
    <w:rsid w:val="00905FAD"/>
    <w:rsid w:val="009061E8"/>
    <w:rsid w:val="00906311"/>
    <w:rsid w:val="009065A6"/>
    <w:rsid w:val="009065AC"/>
    <w:rsid w:val="009066D8"/>
    <w:rsid w:val="00906785"/>
    <w:rsid w:val="00906942"/>
    <w:rsid w:val="00906989"/>
    <w:rsid w:val="0090699D"/>
    <w:rsid w:val="009069C5"/>
    <w:rsid w:val="00906A99"/>
    <w:rsid w:val="00907048"/>
    <w:rsid w:val="0090728C"/>
    <w:rsid w:val="009078CF"/>
    <w:rsid w:val="00907992"/>
    <w:rsid w:val="00907C19"/>
    <w:rsid w:val="00907DA6"/>
    <w:rsid w:val="0091053B"/>
    <w:rsid w:val="0091056F"/>
    <w:rsid w:val="0091084E"/>
    <w:rsid w:val="009108E8"/>
    <w:rsid w:val="00910DBE"/>
    <w:rsid w:val="009110EE"/>
    <w:rsid w:val="009110FF"/>
    <w:rsid w:val="009111A7"/>
    <w:rsid w:val="00911572"/>
    <w:rsid w:val="00911585"/>
    <w:rsid w:val="009115CF"/>
    <w:rsid w:val="00911B6D"/>
    <w:rsid w:val="009121A1"/>
    <w:rsid w:val="0091254C"/>
    <w:rsid w:val="00912719"/>
    <w:rsid w:val="00912861"/>
    <w:rsid w:val="00912B1A"/>
    <w:rsid w:val="00912BC8"/>
    <w:rsid w:val="00913089"/>
    <w:rsid w:val="00913262"/>
    <w:rsid w:val="00913711"/>
    <w:rsid w:val="00913AC8"/>
    <w:rsid w:val="00913E35"/>
    <w:rsid w:val="00913F44"/>
    <w:rsid w:val="00914019"/>
    <w:rsid w:val="009141C6"/>
    <w:rsid w:val="0091434F"/>
    <w:rsid w:val="00914446"/>
    <w:rsid w:val="00914490"/>
    <w:rsid w:val="00914829"/>
    <w:rsid w:val="009149AC"/>
    <w:rsid w:val="00914D2C"/>
    <w:rsid w:val="0091520F"/>
    <w:rsid w:val="0091547B"/>
    <w:rsid w:val="0091566F"/>
    <w:rsid w:val="00915929"/>
    <w:rsid w:val="00915C3D"/>
    <w:rsid w:val="00915CC0"/>
    <w:rsid w:val="00916879"/>
    <w:rsid w:val="00916A8C"/>
    <w:rsid w:val="00916ADA"/>
    <w:rsid w:val="00916BC1"/>
    <w:rsid w:val="00916D08"/>
    <w:rsid w:val="00916DCC"/>
    <w:rsid w:val="00916EC8"/>
    <w:rsid w:val="0091710F"/>
    <w:rsid w:val="00917300"/>
    <w:rsid w:val="009175C2"/>
    <w:rsid w:val="009176C7"/>
    <w:rsid w:val="009177DB"/>
    <w:rsid w:val="00917BA7"/>
    <w:rsid w:val="00920204"/>
    <w:rsid w:val="0092043C"/>
    <w:rsid w:val="00920723"/>
    <w:rsid w:val="009207BA"/>
    <w:rsid w:val="00920923"/>
    <w:rsid w:val="00920939"/>
    <w:rsid w:val="00920A7B"/>
    <w:rsid w:val="00920C43"/>
    <w:rsid w:val="00920D54"/>
    <w:rsid w:val="00920EC4"/>
    <w:rsid w:val="00920F96"/>
    <w:rsid w:val="0092138F"/>
    <w:rsid w:val="00921654"/>
    <w:rsid w:val="00921785"/>
    <w:rsid w:val="00921832"/>
    <w:rsid w:val="009218E3"/>
    <w:rsid w:val="00921C28"/>
    <w:rsid w:val="00921CF9"/>
    <w:rsid w:val="00922520"/>
    <w:rsid w:val="009227EC"/>
    <w:rsid w:val="00922859"/>
    <w:rsid w:val="00922E63"/>
    <w:rsid w:val="00922FFB"/>
    <w:rsid w:val="00923121"/>
    <w:rsid w:val="00923169"/>
    <w:rsid w:val="00923399"/>
    <w:rsid w:val="009234E4"/>
    <w:rsid w:val="009235F2"/>
    <w:rsid w:val="00923A2D"/>
    <w:rsid w:val="00923BF0"/>
    <w:rsid w:val="00923CD6"/>
    <w:rsid w:val="00923D32"/>
    <w:rsid w:val="00923E04"/>
    <w:rsid w:val="0092411C"/>
    <w:rsid w:val="009245D0"/>
    <w:rsid w:val="009246F8"/>
    <w:rsid w:val="009247D0"/>
    <w:rsid w:val="009248F8"/>
    <w:rsid w:val="00924947"/>
    <w:rsid w:val="009250DE"/>
    <w:rsid w:val="00925174"/>
    <w:rsid w:val="0092521B"/>
    <w:rsid w:val="00925267"/>
    <w:rsid w:val="00925332"/>
    <w:rsid w:val="009257CA"/>
    <w:rsid w:val="0092590D"/>
    <w:rsid w:val="00925DA6"/>
    <w:rsid w:val="00925DF9"/>
    <w:rsid w:val="00925E26"/>
    <w:rsid w:val="00925ED5"/>
    <w:rsid w:val="009263BC"/>
    <w:rsid w:val="00926527"/>
    <w:rsid w:val="00926551"/>
    <w:rsid w:val="00926985"/>
    <w:rsid w:val="009271EA"/>
    <w:rsid w:val="00927204"/>
    <w:rsid w:val="00927B19"/>
    <w:rsid w:val="00927E51"/>
    <w:rsid w:val="00930235"/>
    <w:rsid w:val="009303B9"/>
    <w:rsid w:val="009303E9"/>
    <w:rsid w:val="0093045C"/>
    <w:rsid w:val="00930489"/>
    <w:rsid w:val="00930C9C"/>
    <w:rsid w:val="00930F64"/>
    <w:rsid w:val="00931205"/>
    <w:rsid w:val="009312CF"/>
    <w:rsid w:val="009314CB"/>
    <w:rsid w:val="009316B6"/>
    <w:rsid w:val="00931F3E"/>
    <w:rsid w:val="00931F82"/>
    <w:rsid w:val="00931FF8"/>
    <w:rsid w:val="00932252"/>
    <w:rsid w:val="00932475"/>
    <w:rsid w:val="00932733"/>
    <w:rsid w:val="009328B4"/>
    <w:rsid w:val="00932A1A"/>
    <w:rsid w:val="00932C54"/>
    <w:rsid w:val="00932C84"/>
    <w:rsid w:val="00932DFE"/>
    <w:rsid w:val="00933430"/>
    <w:rsid w:val="0093379B"/>
    <w:rsid w:val="009338A3"/>
    <w:rsid w:val="00933D15"/>
    <w:rsid w:val="00933DBF"/>
    <w:rsid w:val="00933E5C"/>
    <w:rsid w:val="00933E76"/>
    <w:rsid w:val="00934114"/>
    <w:rsid w:val="009341D9"/>
    <w:rsid w:val="00934444"/>
    <w:rsid w:val="0093464E"/>
    <w:rsid w:val="00934EEF"/>
    <w:rsid w:val="00934FC1"/>
    <w:rsid w:val="00934FD4"/>
    <w:rsid w:val="00935A94"/>
    <w:rsid w:val="00935B00"/>
    <w:rsid w:val="00935C34"/>
    <w:rsid w:val="00936105"/>
    <w:rsid w:val="00936265"/>
    <w:rsid w:val="00936F7E"/>
    <w:rsid w:val="00937347"/>
    <w:rsid w:val="009373D9"/>
    <w:rsid w:val="009375F8"/>
    <w:rsid w:val="009379B4"/>
    <w:rsid w:val="00937D2A"/>
    <w:rsid w:val="00937E55"/>
    <w:rsid w:val="00937F03"/>
    <w:rsid w:val="009409BE"/>
    <w:rsid w:val="00940A6B"/>
    <w:rsid w:val="00940F3E"/>
    <w:rsid w:val="0094118C"/>
    <w:rsid w:val="009417EE"/>
    <w:rsid w:val="009418C1"/>
    <w:rsid w:val="00941D22"/>
    <w:rsid w:val="00941F88"/>
    <w:rsid w:val="009422A9"/>
    <w:rsid w:val="009423D8"/>
    <w:rsid w:val="00942435"/>
    <w:rsid w:val="0094246B"/>
    <w:rsid w:val="009425FE"/>
    <w:rsid w:val="00942BCA"/>
    <w:rsid w:val="00942F9B"/>
    <w:rsid w:val="0094322C"/>
    <w:rsid w:val="009437C7"/>
    <w:rsid w:val="00943953"/>
    <w:rsid w:val="00943C8C"/>
    <w:rsid w:val="00943CB7"/>
    <w:rsid w:val="00943DA9"/>
    <w:rsid w:val="00943E89"/>
    <w:rsid w:val="00943EBB"/>
    <w:rsid w:val="0094408C"/>
    <w:rsid w:val="00944210"/>
    <w:rsid w:val="009442B5"/>
    <w:rsid w:val="00944732"/>
    <w:rsid w:val="009448B1"/>
    <w:rsid w:val="00944B8A"/>
    <w:rsid w:val="009451FA"/>
    <w:rsid w:val="009453D0"/>
    <w:rsid w:val="009454B9"/>
    <w:rsid w:val="009454C0"/>
    <w:rsid w:val="00945692"/>
    <w:rsid w:val="00945A09"/>
    <w:rsid w:val="00945A8C"/>
    <w:rsid w:val="0094609D"/>
    <w:rsid w:val="009460A5"/>
    <w:rsid w:val="009460C5"/>
    <w:rsid w:val="009463FB"/>
    <w:rsid w:val="009465DC"/>
    <w:rsid w:val="00946C8E"/>
    <w:rsid w:val="00946D43"/>
    <w:rsid w:val="00946DE3"/>
    <w:rsid w:val="009471A3"/>
    <w:rsid w:val="00947274"/>
    <w:rsid w:val="0094761F"/>
    <w:rsid w:val="00947685"/>
    <w:rsid w:val="00947C20"/>
    <w:rsid w:val="00947EC4"/>
    <w:rsid w:val="009500B3"/>
    <w:rsid w:val="009504C2"/>
    <w:rsid w:val="009506D9"/>
    <w:rsid w:val="009507D1"/>
    <w:rsid w:val="0095085B"/>
    <w:rsid w:val="00950E2D"/>
    <w:rsid w:val="0095105F"/>
    <w:rsid w:val="0095114B"/>
    <w:rsid w:val="009511B6"/>
    <w:rsid w:val="00951216"/>
    <w:rsid w:val="009518EB"/>
    <w:rsid w:val="00951E48"/>
    <w:rsid w:val="00952080"/>
    <w:rsid w:val="00952F10"/>
    <w:rsid w:val="00952FA5"/>
    <w:rsid w:val="00953627"/>
    <w:rsid w:val="00953757"/>
    <w:rsid w:val="00953799"/>
    <w:rsid w:val="009538DF"/>
    <w:rsid w:val="00953B9A"/>
    <w:rsid w:val="00954066"/>
    <w:rsid w:val="009540CE"/>
    <w:rsid w:val="0095428B"/>
    <w:rsid w:val="00954850"/>
    <w:rsid w:val="0095501E"/>
    <w:rsid w:val="009555CD"/>
    <w:rsid w:val="00955706"/>
    <w:rsid w:val="00955A0B"/>
    <w:rsid w:val="00955C8F"/>
    <w:rsid w:val="00955FC0"/>
    <w:rsid w:val="00955FDD"/>
    <w:rsid w:val="009563FA"/>
    <w:rsid w:val="00956626"/>
    <w:rsid w:val="00956DEC"/>
    <w:rsid w:val="0095711C"/>
    <w:rsid w:val="0095751A"/>
    <w:rsid w:val="00960612"/>
    <w:rsid w:val="009608F6"/>
    <w:rsid w:val="00960C14"/>
    <w:rsid w:val="00960CE7"/>
    <w:rsid w:val="00960F1F"/>
    <w:rsid w:val="00961183"/>
    <w:rsid w:val="009612E5"/>
    <w:rsid w:val="009615A7"/>
    <w:rsid w:val="0096174C"/>
    <w:rsid w:val="00961958"/>
    <w:rsid w:val="0096195D"/>
    <w:rsid w:val="009619EE"/>
    <w:rsid w:val="00961B65"/>
    <w:rsid w:val="00961BB4"/>
    <w:rsid w:val="00961D60"/>
    <w:rsid w:val="00962524"/>
    <w:rsid w:val="0096259A"/>
    <w:rsid w:val="00962B0C"/>
    <w:rsid w:val="00962F6C"/>
    <w:rsid w:val="00962FEF"/>
    <w:rsid w:val="0096308E"/>
    <w:rsid w:val="009631AB"/>
    <w:rsid w:val="009631BA"/>
    <w:rsid w:val="00963467"/>
    <w:rsid w:val="009635C1"/>
    <w:rsid w:val="0096377C"/>
    <w:rsid w:val="00963CF6"/>
    <w:rsid w:val="00963EF1"/>
    <w:rsid w:val="00963F6C"/>
    <w:rsid w:val="00964AAB"/>
    <w:rsid w:val="00964B92"/>
    <w:rsid w:val="00964CAD"/>
    <w:rsid w:val="00964EBA"/>
    <w:rsid w:val="00965231"/>
    <w:rsid w:val="00965739"/>
    <w:rsid w:val="00965CDE"/>
    <w:rsid w:val="00965F57"/>
    <w:rsid w:val="00965FF3"/>
    <w:rsid w:val="0096604C"/>
    <w:rsid w:val="009661DC"/>
    <w:rsid w:val="0096638B"/>
    <w:rsid w:val="009664A4"/>
    <w:rsid w:val="00966624"/>
    <w:rsid w:val="009667E3"/>
    <w:rsid w:val="009669AF"/>
    <w:rsid w:val="00966AF5"/>
    <w:rsid w:val="00966D41"/>
    <w:rsid w:val="00967020"/>
    <w:rsid w:val="009670E0"/>
    <w:rsid w:val="0096749E"/>
    <w:rsid w:val="009674FC"/>
    <w:rsid w:val="009678EC"/>
    <w:rsid w:val="00967B05"/>
    <w:rsid w:val="00967C92"/>
    <w:rsid w:val="00967F52"/>
    <w:rsid w:val="009704AC"/>
    <w:rsid w:val="00970BBF"/>
    <w:rsid w:val="00970BCF"/>
    <w:rsid w:val="00970EF5"/>
    <w:rsid w:val="00970FC7"/>
    <w:rsid w:val="00970FF7"/>
    <w:rsid w:val="0097105A"/>
    <w:rsid w:val="00971111"/>
    <w:rsid w:val="00971123"/>
    <w:rsid w:val="00971340"/>
    <w:rsid w:val="00971385"/>
    <w:rsid w:val="00971396"/>
    <w:rsid w:val="009717F9"/>
    <w:rsid w:val="00971ACA"/>
    <w:rsid w:val="00971CF6"/>
    <w:rsid w:val="00971DB9"/>
    <w:rsid w:val="00971ED1"/>
    <w:rsid w:val="00971FD7"/>
    <w:rsid w:val="009726C8"/>
    <w:rsid w:val="00972701"/>
    <w:rsid w:val="009727FA"/>
    <w:rsid w:val="00972D21"/>
    <w:rsid w:val="00972EA6"/>
    <w:rsid w:val="00973046"/>
    <w:rsid w:val="00973062"/>
    <w:rsid w:val="009730A7"/>
    <w:rsid w:val="009731A3"/>
    <w:rsid w:val="009731C3"/>
    <w:rsid w:val="009734BD"/>
    <w:rsid w:val="00973A3A"/>
    <w:rsid w:val="00973C9C"/>
    <w:rsid w:val="00973CB5"/>
    <w:rsid w:val="00973DC6"/>
    <w:rsid w:val="00973F91"/>
    <w:rsid w:val="00974435"/>
    <w:rsid w:val="009746D7"/>
    <w:rsid w:val="00974EE0"/>
    <w:rsid w:val="00974FCA"/>
    <w:rsid w:val="0097511A"/>
    <w:rsid w:val="0097511E"/>
    <w:rsid w:val="00975136"/>
    <w:rsid w:val="009753F5"/>
    <w:rsid w:val="00975431"/>
    <w:rsid w:val="00975538"/>
    <w:rsid w:val="00975B51"/>
    <w:rsid w:val="00975F14"/>
    <w:rsid w:val="00975F99"/>
    <w:rsid w:val="00975FDC"/>
    <w:rsid w:val="0097654A"/>
    <w:rsid w:val="00976A8B"/>
    <w:rsid w:val="009774C8"/>
    <w:rsid w:val="009774F0"/>
    <w:rsid w:val="009778C0"/>
    <w:rsid w:val="009779F1"/>
    <w:rsid w:val="00977DEA"/>
    <w:rsid w:val="0098092B"/>
    <w:rsid w:val="00980B1E"/>
    <w:rsid w:val="00980C7F"/>
    <w:rsid w:val="00981113"/>
    <w:rsid w:val="00981274"/>
    <w:rsid w:val="00981325"/>
    <w:rsid w:val="00981500"/>
    <w:rsid w:val="0098170C"/>
    <w:rsid w:val="00981910"/>
    <w:rsid w:val="00981E74"/>
    <w:rsid w:val="00981EC3"/>
    <w:rsid w:val="00982220"/>
    <w:rsid w:val="0098235E"/>
    <w:rsid w:val="00982869"/>
    <w:rsid w:val="00983292"/>
    <w:rsid w:val="0098366F"/>
    <w:rsid w:val="00983B7E"/>
    <w:rsid w:val="00983D21"/>
    <w:rsid w:val="00983EE7"/>
    <w:rsid w:val="00983F65"/>
    <w:rsid w:val="00983FFE"/>
    <w:rsid w:val="009847F3"/>
    <w:rsid w:val="009848AB"/>
    <w:rsid w:val="00984A2D"/>
    <w:rsid w:val="00984B5D"/>
    <w:rsid w:val="009853A2"/>
    <w:rsid w:val="00985904"/>
    <w:rsid w:val="009859B9"/>
    <w:rsid w:val="00985D2F"/>
    <w:rsid w:val="0098686F"/>
    <w:rsid w:val="00986CCA"/>
    <w:rsid w:val="00986D26"/>
    <w:rsid w:val="009873DE"/>
    <w:rsid w:val="0098752B"/>
    <w:rsid w:val="009875DF"/>
    <w:rsid w:val="009879F8"/>
    <w:rsid w:val="00987AD6"/>
    <w:rsid w:val="00987CAA"/>
    <w:rsid w:val="00987E4D"/>
    <w:rsid w:val="0099001C"/>
    <w:rsid w:val="0099028E"/>
    <w:rsid w:val="009908F1"/>
    <w:rsid w:val="0099091D"/>
    <w:rsid w:val="00990976"/>
    <w:rsid w:val="0099097E"/>
    <w:rsid w:val="00990CC3"/>
    <w:rsid w:val="00990D09"/>
    <w:rsid w:val="00991530"/>
    <w:rsid w:val="009917B3"/>
    <w:rsid w:val="00991D62"/>
    <w:rsid w:val="00991F67"/>
    <w:rsid w:val="00991F88"/>
    <w:rsid w:val="0099219A"/>
    <w:rsid w:val="0099223C"/>
    <w:rsid w:val="00992545"/>
    <w:rsid w:val="0099257D"/>
    <w:rsid w:val="009928F2"/>
    <w:rsid w:val="009929A4"/>
    <w:rsid w:val="009929D5"/>
    <w:rsid w:val="00992D0E"/>
    <w:rsid w:val="00992DF1"/>
    <w:rsid w:val="00992EB0"/>
    <w:rsid w:val="0099347D"/>
    <w:rsid w:val="009934FE"/>
    <w:rsid w:val="009938F5"/>
    <w:rsid w:val="00993BBC"/>
    <w:rsid w:val="00993BF7"/>
    <w:rsid w:val="00993C55"/>
    <w:rsid w:val="00993C5A"/>
    <w:rsid w:val="0099471A"/>
    <w:rsid w:val="00994FEA"/>
    <w:rsid w:val="009952FE"/>
    <w:rsid w:val="009954A2"/>
    <w:rsid w:val="009956C5"/>
    <w:rsid w:val="009956D4"/>
    <w:rsid w:val="009958B6"/>
    <w:rsid w:val="00995D6E"/>
    <w:rsid w:val="009961AD"/>
    <w:rsid w:val="0099634D"/>
    <w:rsid w:val="009965A1"/>
    <w:rsid w:val="009965E5"/>
    <w:rsid w:val="0099672B"/>
    <w:rsid w:val="00996879"/>
    <w:rsid w:val="009968A6"/>
    <w:rsid w:val="00996AB3"/>
    <w:rsid w:val="00996D37"/>
    <w:rsid w:val="00997173"/>
    <w:rsid w:val="0099736A"/>
    <w:rsid w:val="00997443"/>
    <w:rsid w:val="0099746F"/>
    <w:rsid w:val="009978A5"/>
    <w:rsid w:val="009978FC"/>
    <w:rsid w:val="00997918"/>
    <w:rsid w:val="009A0050"/>
    <w:rsid w:val="009A0106"/>
    <w:rsid w:val="009A0124"/>
    <w:rsid w:val="009A0653"/>
    <w:rsid w:val="009A06D9"/>
    <w:rsid w:val="009A0986"/>
    <w:rsid w:val="009A09AF"/>
    <w:rsid w:val="009A0D81"/>
    <w:rsid w:val="009A1827"/>
    <w:rsid w:val="009A1A03"/>
    <w:rsid w:val="009A1A82"/>
    <w:rsid w:val="009A1D76"/>
    <w:rsid w:val="009A2CCA"/>
    <w:rsid w:val="009A2DA9"/>
    <w:rsid w:val="009A2DBE"/>
    <w:rsid w:val="009A2E82"/>
    <w:rsid w:val="009A3141"/>
    <w:rsid w:val="009A318A"/>
    <w:rsid w:val="009A3248"/>
    <w:rsid w:val="009A333B"/>
    <w:rsid w:val="009A3527"/>
    <w:rsid w:val="009A3606"/>
    <w:rsid w:val="009A389D"/>
    <w:rsid w:val="009A392E"/>
    <w:rsid w:val="009A440F"/>
    <w:rsid w:val="009A44F3"/>
    <w:rsid w:val="009A4C6E"/>
    <w:rsid w:val="009A4CA7"/>
    <w:rsid w:val="009A4D48"/>
    <w:rsid w:val="009A548B"/>
    <w:rsid w:val="009A5643"/>
    <w:rsid w:val="009A5ABE"/>
    <w:rsid w:val="009A5AD2"/>
    <w:rsid w:val="009A5DE8"/>
    <w:rsid w:val="009A5DF1"/>
    <w:rsid w:val="009A5EB5"/>
    <w:rsid w:val="009A628F"/>
    <w:rsid w:val="009A6292"/>
    <w:rsid w:val="009A632E"/>
    <w:rsid w:val="009A6706"/>
    <w:rsid w:val="009A6B3C"/>
    <w:rsid w:val="009A6E64"/>
    <w:rsid w:val="009A726C"/>
    <w:rsid w:val="009A7329"/>
    <w:rsid w:val="009A73BB"/>
    <w:rsid w:val="009A75EB"/>
    <w:rsid w:val="009A77A5"/>
    <w:rsid w:val="009A79D1"/>
    <w:rsid w:val="009A7CE2"/>
    <w:rsid w:val="009A7DFB"/>
    <w:rsid w:val="009A7F88"/>
    <w:rsid w:val="009B0096"/>
    <w:rsid w:val="009B014A"/>
    <w:rsid w:val="009B0453"/>
    <w:rsid w:val="009B0A28"/>
    <w:rsid w:val="009B0D70"/>
    <w:rsid w:val="009B118C"/>
    <w:rsid w:val="009B13E6"/>
    <w:rsid w:val="009B160D"/>
    <w:rsid w:val="009B1805"/>
    <w:rsid w:val="009B1872"/>
    <w:rsid w:val="009B188B"/>
    <w:rsid w:val="009B18A2"/>
    <w:rsid w:val="009B1A36"/>
    <w:rsid w:val="009B1A53"/>
    <w:rsid w:val="009B1B6E"/>
    <w:rsid w:val="009B1E47"/>
    <w:rsid w:val="009B1F55"/>
    <w:rsid w:val="009B272D"/>
    <w:rsid w:val="009B2760"/>
    <w:rsid w:val="009B280E"/>
    <w:rsid w:val="009B2832"/>
    <w:rsid w:val="009B2C18"/>
    <w:rsid w:val="009B2C53"/>
    <w:rsid w:val="009B2E37"/>
    <w:rsid w:val="009B3D59"/>
    <w:rsid w:val="009B3E31"/>
    <w:rsid w:val="009B41BA"/>
    <w:rsid w:val="009B4672"/>
    <w:rsid w:val="009B4C06"/>
    <w:rsid w:val="009B4C50"/>
    <w:rsid w:val="009B4C61"/>
    <w:rsid w:val="009B4E1D"/>
    <w:rsid w:val="009B4E61"/>
    <w:rsid w:val="009B4FFE"/>
    <w:rsid w:val="009B52A5"/>
    <w:rsid w:val="009B5513"/>
    <w:rsid w:val="009B56DA"/>
    <w:rsid w:val="009B5774"/>
    <w:rsid w:val="009B59FD"/>
    <w:rsid w:val="009B6395"/>
    <w:rsid w:val="009B63B5"/>
    <w:rsid w:val="009B6726"/>
    <w:rsid w:val="009B6FB9"/>
    <w:rsid w:val="009B77FD"/>
    <w:rsid w:val="009B7AD3"/>
    <w:rsid w:val="009C0369"/>
    <w:rsid w:val="009C03D4"/>
    <w:rsid w:val="009C05E6"/>
    <w:rsid w:val="009C0912"/>
    <w:rsid w:val="009C09B9"/>
    <w:rsid w:val="009C0B77"/>
    <w:rsid w:val="009C0EB0"/>
    <w:rsid w:val="009C190D"/>
    <w:rsid w:val="009C1BFF"/>
    <w:rsid w:val="009C1EE8"/>
    <w:rsid w:val="009C2120"/>
    <w:rsid w:val="009C299A"/>
    <w:rsid w:val="009C2E6C"/>
    <w:rsid w:val="009C2EBB"/>
    <w:rsid w:val="009C3205"/>
    <w:rsid w:val="009C323B"/>
    <w:rsid w:val="009C33B8"/>
    <w:rsid w:val="009C3893"/>
    <w:rsid w:val="009C3A55"/>
    <w:rsid w:val="009C3DCD"/>
    <w:rsid w:val="009C3F83"/>
    <w:rsid w:val="009C4075"/>
    <w:rsid w:val="009C40FD"/>
    <w:rsid w:val="009C4505"/>
    <w:rsid w:val="009C46FA"/>
    <w:rsid w:val="009C533C"/>
    <w:rsid w:val="009C5374"/>
    <w:rsid w:val="009C555C"/>
    <w:rsid w:val="009C5818"/>
    <w:rsid w:val="009C5A60"/>
    <w:rsid w:val="009C5E21"/>
    <w:rsid w:val="009C5F34"/>
    <w:rsid w:val="009C5F35"/>
    <w:rsid w:val="009C625C"/>
    <w:rsid w:val="009C63EE"/>
    <w:rsid w:val="009C64A0"/>
    <w:rsid w:val="009C688E"/>
    <w:rsid w:val="009C6E46"/>
    <w:rsid w:val="009C779D"/>
    <w:rsid w:val="009C7872"/>
    <w:rsid w:val="009C7CEE"/>
    <w:rsid w:val="009D0223"/>
    <w:rsid w:val="009D0790"/>
    <w:rsid w:val="009D082A"/>
    <w:rsid w:val="009D085F"/>
    <w:rsid w:val="009D08D0"/>
    <w:rsid w:val="009D0B2A"/>
    <w:rsid w:val="009D0D67"/>
    <w:rsid w:val="009D0E76"/>
    <w:rsid w:val="009D0F5F"/>
    <w:rsid w:val="009D1006"/>
    <w:rsid w:val="009D1098"/>
    <w:rsid w:val="009D1140"/>
    <w:rsid w:val="009D1527"/>
    <w:rsid w:val="009D1678"/>
    <w:rsid w:val="009D18FA"/>
    <w:rsid w:val="009D1BE2"/>
    <w:rsid w:val="009D1DE6"/>
    <w:rsid w:val="009D1F26"/>
    <w:rsid w:val="009D20CA"/>
    <w:rsid w:val="009D20D3"/>
    <w:rsid w:val="009D2856"/>
    <w:rsid w:val="009D2963"/>
    <w:rsid w:val="009D29D5"/>
    <w:rsid w:val="009D2ADD"/>
    <w:rsid w:val="009D2CB3"/>
    <w:rsid w:val="009D2D6E"/>
    <w:rsid w:val="009D2D8A"/>
    <w:rsid w:val="009D3B28"/>
    <w:rsid w:val="009D3CC9"/>
    <w:rsid w:val="009D41AE"/>
    <w:rsid w:val="009D45F5"/>
    <w:rsid w:val="009D46BD"/>
    <w:rsid w:val="009D472D"/>
    <w:rsid w:val="009D47CB"/>
    <w:rsid w:val="009D4AE9"/>
    <w:rsid w:val="009D4C98"/>
    <w:rsid w:val="009D4E07"/>
    <w:rsid w:val="009D5031"/>
    <w:rsid w:val="009D521E"/>
    <w:rsid w:val="009D5667"/>
    <w:rsid w:val="009D5859"/>
    <w:rsid w:val="009D585B"/>
    <w:rsid w:val="009D598C"/>
    <w:rsid w:val="009D5A96"/>
    <w:rsid w:val="009D5CA7"/>
    <w:rsid w:val="009D5F2F"/>
    <w:rsid w:val="009D602F"/>
    <w:rsid w:val="009D6209"/>
    <w:rsid w:val="009D6345"/>
    <w:rsid w:val="009D63DB"/>
    <w:rsid w:val="009D64DF"/>
    <w:rsid w:val="009D651B"/>
    <w:rsid w:val="009D65A5"/>
    <w:rsid w:val="009D662C"/>
    <w:rsid w:val="009D6766"/>
    <w:rsid w:val="009D6B93"/>
    <w:rsid w:val="009D6C6F"/>
    <w:rsid w:val="009D6CF8"/>
    <w:rsid w:val="009D6E23"/>
    <w:rsid w:val="009D6EE0"/>
    <w:rsid w:val="009D6F16"/>
    <w:rsid w:val="009D74A8"/>
    <w:rsid w:val="009D7F75"/>
    <w:rsid w:val="009E01EC"/>
    <w:rsid w:val="009E0637"/>
    <w:rsid w:val="009E089C"/>
    <w:rsid w:val="009E097E"/>
    <w:rsid w:val="009E0E41"/>
    <w:rsid w:val="009E1052"/>
    <w:rsid w:val="009E1367"/>
    <w:rsid w:val="009E14AF"/>
    <w:rsid w:val="009E16C9"/>
    <w:rsid w:val="009E172F"/>
    <w:rsid w:val="009E17A5"/>
    <w:rsid w:val="009E1C65"/>
    <w:rsid w:val="009E1C74"/>
    <w:rsid w:val="009E1CAE"/>
    <w:rsid w:val="009E1F3C"/>
    <w:rsid w:val="009E20CA"/>
    <w:rsid w:val="009E20FB"/>
    <w:rsid w:val="009E219F"/>
    <w:rsid w:val="009E2285"/>
    <w:rsid w:val="009E24C0"/>
    <w:rsid w:val="009E24F8"/>
    <w:rsid w:val="009E2529"/>
    <w:rsid w:val="009E26A6"/>
    <w:rsid w:val="009E26CB"/>
    <w:rsid w:val="009E26FB"/>
    <w:rsid w:val="009E2D73"/>
    <w:rsid w:val="009E2EB0"/>
    <w:rsid w:val="009E3059"/>
    <w:rsid w:val="009E30FD"/>
    <w:rsid w:val="009E36CD"/>
    <w:rsid w:val="009E3CB6"/>
    <w:rsid w:val="009E3D96"/>
    <w:rsid w:val="009E3DBB"/>
    <w:rsid w:val="009E404A"/>
    <w:rsid w:val="009E4098"/>
    <w:rsid w:val="009E4152"/>
    <w:rsid w:val="009E425B"/>
    <w:rsid w:val="009E4412"/>
    <w:rsid w:val="009E48A5"/>
    <w:rsid w:val="009E48C3"/>
    <w:rsid w:val="009E4C00"/>
    <w:rsid w:val="009E51DA"/>
    <w:rsid w:val="009E53E4"/>
    <w:rsid w:val="009E555F"/>
    <w:rsid w:val="009E571A"/>
    <w:rsid w:val="009E575B"/>
    <w:rsid w:val="009E59AB"/>
    <w:rsid w:val="009E5B35"/>
    <w:rsid w:val="009E5B7C"/>
    <w:rsid w:val="009E5BC7"/>
    <w:rsid w:val="009E6248"/>
    <w:rsid w:val="009E68D0"/>
    <w:rsid w:val="009E6927"/>
    <w:rsid w:val="009E78E3"/>
    <w:rsid w:val="009E7994"/>
    <w:rsid w:val="009E7BF4"/>
    <w:rsid w:val="009E7E96"/>
    <w:rsid w:val="009F0048"/>
    <w:rsid w:val="009F009B"/>
    <w:rsid w:val="009F0275"/>
    <w:rsid w:val="009F0872"/>
    <w:rsid w:val="009F092B"/>
    <w:rsid w:val="009F0A77"/>
    <w:rsid w:val="009F0E5F"/>
    <w:rsid w:val="009F0FFE"/>
    <w:rsid w:val="009F1006"/>
    <w:rsid w:val="009F1444"/>
    <w:rsid w:val="009F158E"/>
    <w:rsid w:val="009F1604"/>
    <w:rsid w:val="009F16C6"/>
    <w:rsid w:val="009F199B"/>
    <w:rsid w:val="009F1A1E"/>
    <w:rsid w:val="009F239E"/>
    <w:rsid w:val="009F2827"/>
    <w:rsid w:val="009F2A83"/>
    <w:rsid w:val="009F2E81"/>
    <w:rsid w:val="009F2F8A"/>
    <w:rsid w:val="009F3142"/>
    <w:rsid w:val="009F3431"/>
    <w:rsid w:val="009F3564"/>
    <w:rsid w:val="009F35F5"/>
    <w:rsid w:val="009F39FC"/>
    <w:rsid w:val="009F3AEB"/>
    <w:rsid w:val="009F3E6C"/>
    <w:rsid w:val="009F4119"/>
    <w:rsid w:val="009F42DF"/>
    <w:rsid w:val="009F437D"/>
    <w:rsid w:val="009F4682"/>
    <w:rsid w:val="009F4945"/>
    <w:rsid w:val="009F495C"/>
    <w:rsid w:val="009F4AA3"/>
    <w:rsid w:val="009F5505"/>
    <w:rsid w:val="009F5565"/>
    <w:rsid w:val="009F55C2"/>
    <w:rsid w:val="009F5647"/>
    <w:rsid w:val="009F57A5"/>
    <w:rsid w:val="009F5809"/>
    <w:rsid w:val="009F5871"/>
    <w:rsid w:val="009F5917"/>
    <w:rsid w:val="009F5B4A"/>
    <w:rsid w:val="009F5B98"/>
    <w:rsid w:val="009F5CD0"/>
    <w:rsid w:val="009F614B"/>
    <w:rsid w:val="009F68E5"/>
    <w:rsid w:val="009F6B84"/>
    <w:rsid w:val="009F769C"/>
    <w:rsid w:val="009F77AB"/>
    <w:rsid w:val="009F77BB"/>
    <w:rsid w:val="009F7AD2"/>
    <w:rsid w:val="009F7CD0"/>
    <w:rsid w:val="00A0000D"/>
    <w:rsid w:val="00A000A5"/>
    <w:rsid w:val="00A00178"/>
    <w:rsid w:val="00A0029D"/>
    <w:rsid w:val="00A00522"/>
    <w:rsid w:val="00A006F5"/>
    <w:rsid w:val="00A00F30"/>
    <w:rsid w:val="00A0122B"/>
    <w:rsid w:val="00A0231C"/>
    <w:rsid w:val="00A023BE"/>
    <w:rsid w:val="00A02664"/>
    <w:rsid w:val="00A02CB8"/>
    <w:rsid w:val="00A02EA7"/>
    <w:rsid w:val="00A033D5"/>
    <w:rsid w:val="00A033F5"/>
    <w:rsid w:val="00A0359B"/>
    <w:rsid w:val="00A035B6"/>
    <w:rsid w:val="00A03EA4"/>
    <w:rsid w:val="00A04286"/>
    <w:rsid w:val="00A048CA"/>
    <w:rsid w:val="00A04AAC"/>
    <w:rsid w:val="00A050CC"/>
    <w:rsid w:val="00A05206"/>
    <w:rsid w:val="00A052EC"/>
    <w:rsid w:val="00A05DC4"/>
    <w:rsid w:val="00A05EC3"/>
    <w:rsid w:val="00A064FC"/>
    <w:rsid w:val="00A06713"/>
    <w:rsid w:val="00A06B77"/>
    <w:rsid w:val="00A06C47"/>
    <w:rsid w:val="00A06CD2"/>
    <w:rsid w:val="00A07236"/>
    <w:rsid w:val="00A0739E"/>
    <w:rsid w:val="00A076C7"/>
    <w:rsid w:val="00A07AD4"/>
    <w:rsid w:val="00A07C7B"/>
    <w:rsid w:val="00A07CB3"/>
    <w:rsid w:val="00A07D94"/>
    <w:rsid w:val="00A101CD"/>
    <w:rsid w:val="00A10942"/>
    <w:rsid w:val="00A10B11"/>
    <w:rsid w:val="00A10C2C"/>
    <w:rsid w:val="00A111B1"/>
    <w:rsid w:val="00A112AF"/>
    <w:rsid w:val="00A11531"/>
    <w:rsid w:val="00A11815"/>
    <w:rsid w:val="00A11B09"/>
    <w:rsid w:val="00A11C54"/>
    <w:rsid w:val="00A12218"/>
    <w:rsid w:val="00A128BC"/>
    <w:rsid w:val="00A130C3"/>
    <w:rsid w:val="00A133FC"/>
    <w:rsid w:val="00A135DC"/>
    <w:rsid w:val="00A13633"/>
    <w:rsid w:val="00A136D2"/>
    <w:rsid w:val="00A138E0"/>
    <w:rsid w:val="00A13EB0"/>
    <w:rsid w:val="00A13F26"/>
    <w:rsid w:val="00A14031"/>
    <w:rsid w:val="00A14049"/>
    <w:rsid w:val="00A14179"/>
    <w:rsid w:val="00A1422D"/>
    <w:rsid w:val="00A14251"/>
    <w:rsid w:val="00A14310"/>
    <w:rsid w:val="00A1436F"/>
    <w:rsid w:val="00A143A7"/>
    <w:rsid w:val="00A143B9"/>
    <w:rsid w:val="00A144E0"/>
    <w:rsid w:val="00A14EC4"/>
    <w:rsid w:val="00A14ED3"/>
    <w:rsid w:val="00A15069"/>
    <w:rsid w:val="00A15129"/>
    <w:rsid w:val="00A1551C"/>
    <w:rsid w:val="00A155E1"/>
    <w:rsid w:val="00A16092"/>
    <w:rsid w:val="00A1622A"/>
    <w:rsid w:val="00A1652D"/>
    <w:rsid w:val="00A165D3"/>
    <w:rsid w:val="00A1666F"/>
    <w:rsid w:val="00A16920"/>
    <w:rsid w:val="00A16AA9"/>
    <w:rsid w:val="00A16B41"/>
    <w:rsid w:val="00A171F0"/>
    <w:rsid w:val="00A17CE0"/>
    <w:rsid w:val="00A20005"/>
    <w:rsid w:val="00A20126"/>
    <w:rsid w:val="00A20C46"/>
    <w:rsid w:val="00A2158F"/>
    <w:rsid w:val="00A2199F"/>
    <w:rsid w:val="00A21E64"/>
    <w:rsid w:val="00A21F8C"/>
    <w:rsid w:val="00A221E0"/>
    <w:rsid w:val="00A22535"/>
    <w:rsid w:val="00A22559"/>
    <w:rsid w:val="00A22790"/>
    <w:rsid w:val="00A2280F"/>
    <w:rsid w:val="00A2285F"/>
    <w:rsid w:val="00A229E8"/>
    <w:rsid w:val="00A22BB6"/>
    <w:rsid w:val="00A22D00"/>
    <w:rsid w:val="00A232B5"/>
    <w:rsid w:val="00A2343F"/>
    <w:rsid w:val="00A239FF"/>
    <w:rsid w:val="00A23CA8"/>
    <w:rsid w:val="00A23F1C"/>
    <w:rsid w:val="00A23F78"/>
    <w:rsid w:val="00A24014"/>
    <w:rsid w:val="00A244A6"/>
    <w:rsid w:val="00A2469C"/>
    <w:rsid w:val="00A246A0"/>
    <w:rsid w:val="00A24751"/>
    <w:rsid w:val="00A2492F"/>
    <w:rsid w:val="00A24C12"/>
    <w:rsid w:val="00A250A4"/>
    <w:rsid w:val="00A25754"/>
    <w:rsid w:val="00A257BD"/>
    <w:rsid w:val="00A259D1"/>
    <w:rsid w:val="00A25A0F"/>
    <w:rsid w:val="00A25B8B"/>
    <w:rsid w:val="00A25BE2"/>
    <w:rsid w:val="00A25CDD"/>
    <w:rsid w:val="00A25FA1"/>
    <w:rsid w:val="00A26133"/>
    <w:rsid w:val="00A2644E"/>
    <w:rsid w:val="00A264DE"/>
    <w:rsid w:val="00A265CB"/>
    <w:rsid w:val="00A267C4"/>
    <w:rsid w:val="00A2696A"/>
    <w:rsid w:val="00A26D44"/>
    <w:rsid w:val="00A26E57"/>
    <w:rsid w:val="00A26EE6"/>
    <w:rsid w:val="00A26F37"/>
    <w:rsid w:val="00A2708E"/>
    <w:rsid w:val="00A27202"/>
    <w:rsid w:val="00A277D5"/>
    <w:rsid w:val="00A2787D"/>
    <w:rsid w:val="00A278CA"/>
    <w:rsid w:val="00A278FE"/>
    <w:rsid w:val="00A279E4"/>
    <w:rsid w:val="00A27DB9"/>
    <w:rsid w:val="00A27DEE"/>
    <w:rsid w:val="00A300B1"/>
    <w:rsid w:val="00A30121"/>
    <w:rsid w:val="00A30583"/>
    <w:rsid w:val="00A307A2"/>
    <w:rsid w:val="00A30884"/>
    <w:rsid w:val="00A30978"/>
    <w:rsid w:val="00A30DF6"/>
    <w:rsid w:val="00A31278"/>
    <w:rsid w:val="00A315A9"/>
    <w:rsid w:val="00A31765"/>
    <w:rsid w:val="00A31913"/>
    <w:rsid w:val="00A31BF6"/>
    <w:rsid w:val="00A31D4F"/>
    <w:rsid w:val="00A31FB7"/>
    <w:rsid w:val="00A31FC6"/>
    <w:rsid w:val="00A320A2"/>
    <w:rsid w:val="00A321F0"/>
    <w:rsid w:val="00A32865"/>
    <w:rsid w:val="00A329BD"/>
    <w:rsid w:val="00A32C50"/>
    <w:rsid w:val="00A32F32"/>
    <w:rsid w:val="00A33F14"/>
    <w:rsid w:val="00A34038"/>
    <w:rsid w:val="00A34341"/>
    <w:rsid w:val="00A3438B"/>
    <w:rsid w:val="00A346D3"/>
    <w:rsid w:val="00A348C8"/>
    <w:rsid w:val="00A34A18"/>
    <w:rsid w:val="00A34A81"/>
    <w:rsid w:val="00A34AC6"/>
    <w:rsid w:val="00A34ADB"/>
    <w:rsid w:val="00A34B02"/>
    <w:rsid w:val="00A34B21"/>
    <w:rsid w:val="00A34EFB"/>
    <w:rsid w:val="00A34F1F"/>
    <w:rsid w:val="00A34FA5"/>
    <w:rsid w:val="00A3501D"/>
    <w:rsid w:val="00A35054"/>
    <w:rsid w:val="00A3507A"/>
    <w:rsid w:val="00A35212"/>
    <w:rsid w:val="00A3529D"/>
    <w:rsid w:val="00A355A9"/>
    <w:rsid w:val="00A356D7"/>
    <w:rsid w:val="00A3592E"/>
    <w:rsid w:val="00A359D6"/>
    <w:rsid w:val="00A35D0A"/>
    <w:rsid w:val="00A35DE5"/>
    <w:rsid w:val="00A35E68"/>
    <w:rsid w:val="00A35F19"/>
    <w:rsid w:val="00A365A9"/>
    <w:rsid w:val="00A36839"/>
    <w:rsid w:val="00A36A09"/>
    <w:rsid w:val="00A370A9"/>
    <w:rsid w:val="00A37141"/>
    <w:rsid w:val="00A37212"/>
    <w:rsid w:val="00A3733B"/>
    <w:rsid w:val="00A379CD"/>
    <w:rsid w:val="00A37A10"/>
    <w:rsid w:val="00A37A1E"/>
    <w:rsid w:val="00A37BAB"/>
    <w:rsid w:val="00A37C06"/>
    <w:rsid w:val="00A404F7"/>
    <w:rsid w:val="00A40AA1"/>
    <w:rsid w:val="00A40BBC"/>
    <w:rsid w:val="00A410F6"/>
    <w:rsid w:val="00A41455"/>
    <w:rsid w:val="00A41AA2"/>
    <w:rsid w:val="00A41B5B"/>
    <w:rsid w:val="00A41CC0"/>
    <w:rsid w:val="00A41D82"/>
    <w:rsid w:val="00A41D87"/>
    <w:rsid w:val="00A41DF9"/>
    <w:rsid w:val="00A41E19"/>
    <w:rsid w:val="00A41E4E"/>
    <w:rsid w:val="00A42200"/>
    <w:rsid w:val="00A42362"/>
    <w:rsid w:val="00A4241F"/>
    <w:rsid w:val="00A4248B"/>
    <w:rsid w:val="00A42970"/>
    <w:rsid w:val="00A42A87"/>
    <w:rsid w:val="00A42AFC"/>
    <w:rsid w:val="00A42B56"/>
    <w:rsid w:val="00A43234"/>
    <w:rsid w:val="00A434FA"/>
    <w:rsid w:val="00A43538"/>
    <w:rsid w:val="00A43765"/>
    <w:rsid w:val="00A4376A"/>
    <w:rsid w:val="00A43923"/>
    <w:rsid w:val="00A43CE8"/>
    <w:rsid w:val="00A43D48"/>
    <w:rsid w:val="00A442AF"/>
    <w:rsid w:val="00A4445B"/>
    <w:rsid w:val="00A44494"/>
    <w:rsid w:val="00A44990"/>
    <w:rsid w:val="00A449F5"/>
    <w:rsid w:val="00A451DF"/>
    <w:rsid w:val="00A453AA"/>
    <w:rsid w:val="00A455B8"/>
    <w:rsid w:val="00A4563C"/>
    <w:rsid w:val="00A45CAB"/>
    <w:rsid w:val="00A45EA4"/>
    <w:rsid w:val="00A45F9A"/>
    <w:rsid w:val="00A46014"/>
    <w:rsid w:val="00A460C8"/>
    <w:rsid w:val="00A466A4"/>
    <w:rsid w:val="00A46F2A"/>
    <w:rsid w:val="00A470C4"/>
    <w:rsid w:val="00A47B3D"/>
    <w:rsid w:val="00A47EAB"/>
    <w:rsid w:val="00A508C2"/>
    <w:rsid w:val="00A50946"/>
    <w:rsid w:val="00A50988"/>
    <w:rsid w:val="00A509CC"/>
    <w:rsid w:val="00A50B31"/>
    <w:rsid w:val="00A50BE2"/>
    <w:rsid w:val="00A50FB4"/>
    <w:rsid w:val="00A5110D"/>
    <w:rsid w:val="00A5122C"/>
    <w:rsid w:val="00A5163E"/>
    <w:rsid w:val="00A51671"/>
    <w:rsid w:val="00A516AF"/>
    <w:rsid w:val="00A51A85"/>
    <w:rsid w:val="00A51B06"/>
    <w:rsid w:val="00A5295C"/>
    <w:rsid w:val="00A52C18"/>
    <w:rsid w:val="00A531E5"/>
    <w:rsid w:val="00A5336B"/>
    <w:rsid w:val="00A533B5"/>
    <w:rsid w:val="00A5356A"/>
    <w:rsid w:val="00A535F5"/>
    <w:rsid w:val="00A53653"/>
    <w:rsid w:val="00A53966"/>
    <w:rsid w:val="00A53C48"/>
    <w:rsid w:val="00A53C5E"/>
    <w:rsid w:val="00A540CB"/>
    <w:rsid w:val="00A5433F"/>
    <w:rsid w:val="00A54AE6"/>
    <w:rsid w:val="00A5541F"/>
    <w:rsid w:val="00A55607"/>
    <w:rsid w:val="00A55A61"/>
    <w:rsid w:val="00A55A74"/>
    <w:rsid w:val="00A56018"/>
    <w:rsid w:val="00A56029"/>
    <w:rsid w:val="00A5676C"/>
    <w:rsid w:val="00A567F7"/>
    <w:rsid w:val="00A56D08"/>
    <w:rsid w:val="00A57068"/>
    <w:rsid w:val="00A570D4"/>
    <w:rsid w:val="00A576C3"/>
    <w:rsid w:val="00A57849"/>
    <w:rsid w:val="00A57A42"/>
    <w:rsid w:val="00A57A75"/>
    <w:rsid w:val="00A57CA8"/>
    <w:rsid w:val="00A57D66"/>
    <w:rsid w:val="00A57FB2"/>
    <w:rsid w:val="00A60000"/>
    <w:rsid w:val="00A60294"/>
    <w:rsid w:val="00A603C6"/>
    <w:rsid w:val="00A60413"/>
    <w:rsid w:val="00A6041A"/>
    <w:rsid w:val="00A60B48"/>
    <w:rsid w:val="00A60BB4"/>
    <w:rsid w:val="00A60F6A"/>
    <w:rsid w:val="00A60FA2"/>
    <w:rsid w:val="00A61039"/>
    <w:rsid w:val="00A612DC"/>
    <w:rsid w:val="00A6165F"/>
    <w:rsid w:val="00A61F09"/>
    <w:rsid w:val="00A62325"/>
    <w:rsid w:val="00A62454"/>
    <w:rsid w:val="00A6263B"/>
    <w:rsid w:val="00A62C34"/>
    <w:rsid w:val="00A63309"/>
    <w:rsid w:val="00A6354F"/>
    <w:rsid w:val="00A63A98"/>
    <w:rsid w:val="00A63BEA"/>
    <w:rsid w:val="00A63E1D"/>
    <w:rsid w:val="00A63F57"/>
    <w:rsid w:val="00A6404A"/>
    <w:rsid w:val="00A641A8"/>
    <w:rsid w:val="00A64425"/>
    <w:rsid w:val="00A6466A"/>
    <w:rsid w:val="00A647A2"/>
    <w:rsid w:val="00A64A5A"/>
    <w:rsid w:val="00A64C22"/>
    <w:rsid w:val="00A64C2F"/>
    <w:rsid w:val="00A64C66"/>
    <w:rsid w:val="00A64D6C"/>
    <w:rsid w:val="00A64F3A"/>
    <w:rsid w:val="00A65144"/>
    <w:rsid w:val="00A656D0"/>
    <w:rsid w:val="00A65867"/>
    <w:rsid w:val="00A65A56"/>
    <w:rsid w:val="00A65DE5"/>
    <w:rsid w:val="00A65E3E"/>
    <w:rsid w:val="00A664BB"/>
    <w:rsid w:val="00A666C3"/>
    <w:rsid w:val="00A669E4"/>
    <w:rsid w:val="00A66AFB"/>
    <w:rsid w:val="00A66E01"/>
    <w:rsid w:val="00A6751F"/>
    <w:rsid w:val="00A67778"/>
    <w:rsid w:val="00A6780F"/>
    <w:rsid w:val="00A67AB6"/>
    <w:rsid w:val="00A67E3B"/>
    <w:rsid w:val="00A67E5B"/>
    <w:rsid w:val="00A70043"/>
    <w:rsid w:val="00A70305"/>
    <w:rsid w:val="00A70350"/>
    <w:rsid w:val="00A70395"/>
    <w:rsid w:val="00A70418"/>
    <w:rsid w:val="00A7048A"/>
    <w:rsid w:val="00A70588"/>
    <w:rsid w:val="00A706EE"/>
    <w:rsid w:val="00A70733"/>
    <w:rsid w:val="00A7083C"/>
    <w:rsid w:val="00A70A8F"/>
    <w:rsid w:val="00A70B18"/>
    <w:rsid w:val="00A71064"/>
    <w:rsid w:val="00A7130A"/>
    <w:rsid w:val="00A7130C"/>
    <w:rsid w:val="00A716AD"/>
    <w:rsid w:val="00A71A92"/>
    <w:rsid w:val="00A71C6D"/>
    <w:rsid w:val="00A71D21"/>
    <w:rsid w:val="00A71ECF"/>
    <w:rsid w:val="00A723A3"/>
    <w:rsid w:val="00A72559"/>
    <w:rsid w:val="00A725A9"/>
    <w:rsid w:val="00A728AB"/>
    <w:rsid w:val="00A7291A"/>
    <w:rsid w:val="00A72A44"/>
    <w:rsid w:val="00A72CC0"/>
    <w:rsid w:val="00A7357B"/>
    <w:rsid w:val="00A73B45"/>
    <w:rsid w:val="00A73B79"/>
    <w:rsid w:val="00A7407C"/>
    <w:rsid w:val="00A741AA"/>
    <w:rsid w:val="00A741EA"/>
    <w:rsid w:val="00A741FB"/>
    <w:rsid w:val="00A74219"/>
    <w:rsid w:val="00A7427E"/>
    <w:rsid w:val="00A746AA"/>
    <w:rsid w:val="00A7479B"/>
    <w:rsid w:val="00A74850"/>
    <w:rsid w:val="00A74A34"/>
    <w:rsid w:val="00A74B8A"/>
    <w:rsid w:val="00A74CA3"/>
    <w:rsid w:val="00A74CF1"/>
    <w:rsid w:val="00A751A9"/>
    <w:rsid w:val="00A757B5"/>
    <w:rsid w:val="00A759E5"/>
    <w:rsid w:val="00A75A1A"/>
    <w:rsid w:val="00A75C57"/>
    <w:rsid w:val="00A75DEF"/>
    <w:rsid w:val="00A7612A"/>
    <w:rsid w:val="00A7630E"/>
    <w:rsid w:val="00A76E6C"/>
    <w:rsid w:val="00A7722D"/>
    <w:rsid w:val="00A773BE"/>
    <w:rsid w:val="00A77415"/>
    <w:rsid w:val="00A77422"/>
    <w:rsid w:val="00A77604"/>
    <w:rsid w:val="00A777B7"/>
    <w:rsid w:val="00A77CBC"/>
    <w:rsid w:val="00A77D0E"/>
    <w:rsid w:val="00A77DC2"/>
    <w:rsid w:val="00A77F57"/>
    <w:rsid w:val="00A801A3"/>
    <w:rsid w:val="00A803F9"/>
    <w:rsid w:val="00A8091C"/>
    <w:rsid w:val="00A80A02"/>
    <w:rsid w:val="00A80A9F"/>
    <w:rsid w:val="00A80B66"/>
    <w:rsid w:val="00A80BDC"/>
    <w:rsid w:val="00A80C3A"/>
    <w:rsid w:val="00A80C9C"/>
    <w:rsid w:val="00A80D96"/>
    <w:rsid w:val="00A80DAC"/>
    <w:rsid w:val="00A80E1D"/>
    <w:rsid w:val="00A80EB3"/>
    <w:rsid w:val="00A80F49"/>
    <w:rsid w:val="00A810B3"/>
    <w:rsid w:val="00A811A6"/>
    <w:rsid w:val="00A8125E"/>
    <w:rsid w:val="00A81428"/>
    <w:rsid w:val="00A81901"/>
    <w:rsid w:val="00A81B29"/>
    <w:rsid w:val="00A81C4D"/>
    <w:rsid w:val="00A821B3"/>
    <w:rsid w:val="00A82A90"/>
    <w:rsid w:val="00A82ED6"/>
    <w:rsid w:val="00A82F27"/>
    <w:rsid w:val="00A83038"/>
    <w:rsid w:val="00A830E5"/>
    <w:rsid w:val="00A830F5"/>
    <w:rsid w:val="00A837CE"/>
    <w:rsid w:val="00A83D75"/>
    <w:rsid w:val="00A848C2"/>
    <w:rsid w:val="00A84BD9"/>
    <w:rsid w:val="00A8510E"/>
    <w:rsid w:val="00A854D5"/>
    <w:rsid w:val="00A85722"/>
    <w:rsid w:val="00A85D71"/>
    <w:rsid w:val="00A86474"/>
    <w:rsid w:val="00A864B5"/>
    <w:rsid w:val="00A864EF"/>
    <w:rsid w:val="00A867D0"/>
    <w:rsid w:val="00A86892"/>
    <w:rsid w:val="00A868EA"/>
    <w:rsid w:val="00A869A2"/>
    <w:rsid w:val="00A86BB9"/>
    <w:rsid w:val="00A86FD2"/>
    <w:rsid w:val="00A87033"/>
    <w:rsid w:val="00A8733E"/>
    <w:rsid w:val="00A8750D"/>
    <w:rsid w:val="00A87588"/>
    <w:rsid w:val="00A87E71"/>
    <w:rsid w:val="00A87F4D"/>
    <w:rsid w:val="00A901A9"/>
    <w:rsid w:val="00A90251"/>
    <w:rsid w:val="00A90391"/>
    <w:rsid w:val="00A903EA"/>
    <w:rsid w:val="00A907FC"/>
    <w:rsid w:val="00A90BB1"/>
    <w:rsid w:val="00A90CE2"/>
    <w:rsid w:val="00A90DA3"/>
    <w:rsid w:val="00A90EEB"/>
    <w:rsid w:val="00A91385"/>
    <w:rsid w:val="00A91756"/>
    <w:rsid w:val="00A9179B"/>
    <w:rsid w:val="00A91815"/>
    <w:rsid w:val="00A91904"/>
    <w:rsid w:val="00A92057"/>
    <w:rsid w:val="00A92211"/>
    <w:rsid w:val="00A925AF"/>
    <w:rsid w:val="00A92741"/>
    <w:rsid w:val="00A929DD"/>
    <w:rsid w:val="00A92A62"/>
    <w:rsid w:val="00A92AF1"/>
    <w:rsid w:val="00A92C48"/>
    <w:rsid w:val="00A92FB7"/>
    <w:rsid w:val="00A93045"/>
    <w:rsid w:val="00A9318C"/>
    <w:rsid w:val="00A932C3"/>
    <w:rsid w:val="00A9372F"/>
    <w:rsid w:val="00A9392C"/>
    <w:rsid w:val="00A93979"/>
    <w:rsid w:val="00A939BD"/>
    <w:rsid w:val="00A93EB7"/>
    <w:rsid w:val="00A93F30"/>
    <w:rsid w:val="00A943C0"/>
    <w:rsid w:val="00A94913"/>
    <w:rsid w:val="00A949ED"/>
    <w:rsid w:val="00A94BFC"/>
    <w:rsid w:val="00A94C2C"/>
    <w:rsid w:val="00A951B1"/>
    <w:rsid w:val="00A951FD"/>
    <w:rsid w:val="00A9568C"/>
    <w:rsid w:val="00A956A6"/>
    <w:rsid w:val="00A95ABD"/>
    <w:rsid w:val="00A95B47"/>
    <w:rsid w:val="00A95CDD"/>
    <w:rsid w:val="00A95F69"/>
    <w:rsid w:val="00A96032"/>
    <w:rsid w:val="00A9608C"/>
    <w:rsid w:val="00A9623C"/>
    <w:rsid w:val="00A96955"/>
    <w:rsid w:val="00A96A0D"/>
    <w:rsid w:val="00A96A4C"/>
    <w:rsid w:val="00A9726B"/>
    <w:rsid w:val="00A97309"/>
    <w:rsid w:val="00A9733D"/>
    <w:rsid w:val="00A97570"/>
    <w:rsid w:val="00A97BD8"/>
    <w:rsid w:val="00A97D25"/>
    <w:rsid w:val="00A97FD5"/>
    <w:rsid w:val="00AA01C4"/>
    <w:rsid w:val="00AA0277"/>
    <w:rsid w:val="00AA0432"/>
    <w:rsid w:val="00AA096F"/>
    <w:rsid w:val="00AA0E16"/>
    <w:rsid w:val="00AA14A1"/>
    <w:rsid w:val="00AA14FF"/>
    <w:rsid w:val="00AA1585"/>
    <w:rsid w:val="00AA1752"/>
    <w:rsid w:val="00AA1D43"/>
    <w:rsid w:val="00AA2126"/>
    <w:rsid w:val="00AA25FA"/>
    <w:rsid w:val="00AA2E03"/>
    <w:rsid w:val="00AA3062"/>
    <w:rsid w:val="00AA36C3"/>
    <w:rsid w:val="00AA3D18"/>
    <w:rsid w:val="00AA3F86"/>
    <w:rsid w:val="00AA3FF6"/>
    <w:rsid w:val="00AA4383"/>
    <w:rsid w:val="00AA47C5"/>
    <w:rsid w:val="00AA4956"/>
    <w:rsid w:val="00AA498E"/>
    <w:rsid w:val="00AA4DD5"/>
    <w:rsid w:val="00AA4E32"/>
    <w:rsid w:val="00AA52C0"/>
    <w:rsid w:val="00AA5387"/>
    <w:rsid w:val="00AA55D1"/>
    <w:rsid w:val="00AA582F"/>
    <w:rsid w:val="00AA58A6"/>
    <w:rsid w:val="00AA5944"/>
    <w:rsid w:val="00AA659F"/>
    <w:rsid w:val="00AA65D1"/>
    <w:rsid w:val="00AA65EA"/>
    <w:rsid w:val="00AA6719"/>
    <w:rsid w:val="00AA67C1"/>
    <w:rsid w:val="00AA6B16"/>
    <w:rsid w:val="00AA6B2D"/>
    <w:rsid w:val="00AA6B8A"/>
    <w:rsid w:val="00AA6C2E"/>
    <w:rsid w:val="00AA6F60"/>
    <w:rsid w:val="00AA7057"/>
    <w:rsid w:val="00AA73BB"/>
    <w:rsid w:val="00AA73C8"/>
    <w:rsid w:val="00AA740A"/>
    <w:rsid w:val="00AA77C1"/>
    <w:rsid w:val="00AB017C"/>
    <w:rsid w:val="00AB024B"/>
    <w:rsid w:val="00AB0627"/>
    <w:rsid w:val="00AB06CE"/>
    <w:rsid w:val="00AB0884"/>
    <w:rsid w:val="00AB095B"/>
    <w:rsid w:val="00AB0C94"/>
    <w:rsid w:val="00AB0DED"/>
    <w:rsid w:val="00AB0F2E"/>
    <w:rsid w:val="00AB12F0"/>
    <w:rsid w:val="00AB193D"/>
    <w:rsid w:val="00AB1B87"/>
    <w:rsid w:val="00AB1DEB"/>
    <w:rsid w:val="00AB1EE0"/>
    <w:rsid w:val="00AB2B02"/>
    <w:rsid w:val="00AB2CD7"/>
    <w:rsid w:val="00AB2DA1"/>
    <w:rsid w:val="00AB33DD"/>
    <w:rsid w:val="00AB34C0"/>
    <w:rsid w:val="00AB3559"/>
    <w:rsid w:val="00AB36CB"/>
    <w:rsid w:val="00AB37FD"/>
    <w:rsid w:val="00AB3BB7"/>
    <w:rsid w:val="00AB40DF"/>
    <w:rsid w:val="00AB425A"/>
    <w:rsid w:val="00AB43C2"/>
    <w:rsid w:val="00AB4A3D"/>
    <w:rsid w:val="00AB4D2D"/>
    <w:rsid w:val="00AB4DFC"/>
    <w:rsid w:val="00AB4E93"/>
    <w:rsid w:val="00AB5507"/>
    <w:rsid w:val="00AB55EA"/>
    <w:rsid w:val="00AB63B0"/>
    <w:rsid w:val="00AB63B9"/>
    <w:rsid w:val="00AB63DB"/>
    <w:rsid w:val="00AB64A8"/>
    <w:rsid w:val="00AB6593"/>
    <w:rsid w:val="00AB6676"/>
    <w:rsid w:val="00AB676A"/>
    <w:rsid w:val="00AB6A04"/>
    <w:rsid w:val="00AB6D44"/>
    <w:rsid w:val="00AB6E8C"/>
    <w:rsid w:val="00AB6FA7"/>
    <w:rsid w:val="00AB708A"/>
    <w:rsid w:val="00AB7226"/>
    <w:rsid w:val="00AB74E7"/>
    <w:rsid w:val="00AB788D"/>
    <w:rsid w:val="00AB7BFD"/>
    <w:rsid w:val="00AB7D3F"/>
    <w:rsid w:val="00AB7D69"/>
    <w:rsid w:val="00AC0024"/>
    <w:rsid w:val="00AC042D"/>
    <w:rsid w:val="00AC050C"/>
    <w:rsid w:val="00AC0D14"/>
    <w:rsid w:val="00AC0E16"/>
    <w:rsid w:val="00AC0FE4"/>
    <w:rsid w:val="00AC122C"/>
    <w:rsid w:val="00AC12B6"/>
    <w:rsid w:val="00AC12BE"/>
    <w:rsid w:val="00AC14FA"/>
    <w:rsid w:val="00AC1742"/>
    <w:rsid w:val="00AC1BC7"/>
    <w:rsid w:val="00AC1D15"/>
    <w:rsid w:val="00AC1F62"/>
    <w:rsid w:val="00AC217A"/>
    <w:rsid w:val="00AC2394"/>
    <w:rsid w:val="00AC25AC"/>
    <w:rsid w:val="00AC2720"/>
    <w:rsid w:val="00AC29A2"/>
    <w:rsid w:val="00AC2A45"/>
    <w:rsid w:val="00AC2C90"/>
    <w:rsid w:val="00AC2E12"/>
    <w:rsid w:val="00AC2F04"/>
    <w:rsid w:val="00AC310E"/>
    <w:rsid w:val="00AC35B1"/>
    <w:rsid w:val="00AC3943"/>
    <w:rsid w:val="00AC4262"/>
    <w:rsid w:val="00AC448F"/>
    <w:rsid w:val="00AC4536"/>
    <w:rsid w:val="00AC4CDF"/>
    <w:rsid w:val="00AC4DB9"/>
    <w:rsid w:val="00AC51B2"/>
    <w:rsid w:val="00AC5244"/>
    <w:rsid w:val="00AC53AE"/>
    <w:rsid w:val="00AC5890"/>
    <w:rsid w:val="00AC5C14"/>
    <w:rsid w:val="00AC5E78"/>
    <w:rsid w:val="00AC5F26"/>
    <w:rsid w:val="00AC63C2"/>
    <w:rsid w:val="00AC6965"/>
    <w:rsid w:val="00AC6A6B"/>
    <w:rsid w:val="00AC6ECB"/>
    <w:rsid w:val="00AC71A5"/>
    <w:rsid w:val="00AC7256"/>
    <w:rsid w:val="00AC73DA"/>
    <w:rsid w:val="00AC76D1"/>
    <w:rsid w:val="00AC7919"/>
    <w:rsid w:val="00AC7B0C"/>
    <w:rsid w:val="00AC7C22"/>
    <w:rsid w:val="00AC7FE3"/>
    <w:rsid w:val="00AD0056"/>
    <w:rsid w:val="00AD046C"/>
    <w:rsid w:val="00AD050A"/>
    <w:rsid w:val="00AD0825"/>
    <w:rsid w:val="00AD09E2"/>
    <w:rsid w:val="00AD0D0E"/>
    <w:rsid w:val="00AD11A8"/>
    <w:rsid w:val="00AD1242"/>
    <w:rsid w:val="00AD1C1A"/>
    <w:rsid w:val="00AD1D12"/>
    <w:rsid w:val="00AD1E57"/>
    <w:rsid w:val="00AD2034"/>
    <w:rsid w:val="00AD2044"/>
    <w:rsid w:val="00AD21AE"/>
    <w:rsid w:val="00AD21D3"/>
    <w:rsid w:val="00AD2208"/>
    <w:rsid w:val="00AD26D3"/>
    <w:rsid w:val="00AD270F"/>
    <w:rsid w:val="00AD275D"/>
    <w:rsid w:val="00AD277E"/>
    <w:rsid w:val="00AD2F3D"/>
    <w:rsid w:val="00AD3BE4"/>
    <w:rsid w:val="00AD3C59"/>
    <w:rsid w:val="00AD3FA0"/>
    <w:rsid w:val="00AD4049"/>
    <w:rsid w:val="00AD4857"/>
    <w:rsid w:val="00AD4C6D"/>
    <w:rsid w:val="00AD50B4"/>
    <w:rsid w:val="00AD5176"/>
    <w:rsid w:val="00AD5821"/>
    <w:rsid w:val="00AD5A5F"/>
    <w:rsid w:val="00AD5A75"/>
    <w:rsid w:val="00AD5A86"/>
    <w:rsid w:val="00AD5B5D"/>
    <w:rsid w:val="00AD5C77"/>
    <w:rsid w:val="00AD607E"/>
    <w:rsid w:val="00AD625A"/>
    <w:rsid w:val="00AD6579"/>
    <w:rsid w:val="00AD6B65"/>
    <w:rsid w:val="00AD6BBF"/>
    <w:rsid w:val="00AD6C38"/>
    <w:rsid w:val="00AD6C84"/>
    <w:rsid w:val="00AD6F48"/>
    <w:rsid w:val="00AD708D"/>
    <w:rsid w:val="00AD7392"/>
    <w:rsid w:val="00AD74BD"/>
    <w:rsid w:val="00AD785E"/>
    <w:rsid w:val="00AD78B6"/>
    <w:rsid w:val="00AD7902"/>
    <w:rsid w:val="00AD7C2D"/>
    <w:rsid w:val="00AD7C87"/>
    <w:rsid w:val="00AD7D34"/>
    <w:rsid w:val="00AD7DA0"/>
    <w:rsid w:val="00AD7DD6"/>
    <w:rsid w:val="00AD7F8F"/>
    <w:rsid w:val="00AD7FBE"/>
    <w:rsid w:val="00AE0305"/>
    <w:rsid w:val="00AE0D7C"/>
    <w:rsid w:val="00AE0E6C"/>
    <w:rsid w:val="00AE0E9E"/>
    <w:rsid w:val="00AE13FC"/>
    <w:rsid w:val="00AE14B5"/>
    <w:rsid w:val="00AE175B"/>
    <w:rsid w:val="00AE1AA1"/>
    <w:rsid w:val="00AE2066"/>
    <w:rsid w:val="00AE244A"/>
    <w:rsid w:val="00AE255B"/>
    <w:rsid w:val="00AE2BB5"/>
    <w:rsid w:val="00AE2EA4"/>
    <w:rsid w:val="00AE30D0"/>
    <w:rsid w:val="00AE3175"/>
    <w:rsid w:val="00AE36C3"/>
    <w:rsid w:val="00AE3814"/>
    <w:rsid w:val="00AE3AFB"/>
    <w:rsid w:val="00AE3CDA"/>
    <w:rsid w:val="00AE3CE3"/>
    <w:rsid w:val="00AE3E3D"/>
    <w:rsid w:val="00AE42D5"/>
    <w:rsid w:val="00AE4438"/>
    <w:rsid w:val="00AE45E0"/>
    <w:rsid w:val="00AE4618"/>
    <w:rsid w:val="00AE46A8"/>
    <w:rsid w:val="00AE47D3"/>
    <w:rsid w:val="00AE48E4"/>
    <w:rsid w:val="00AE4A4E"/>
    <w:rsid w:val="00AE4A81"/>
    <w:rsid w:val="00AE4AE2"/>
    <w:rsid w:val="00AE4B22"/>
    <w:rsid w:val="00AE4D84"/>
    <w:rsid w:val="00AE4F4F"/>
    <w:rsid w:val="00AE52B5"/>
    <w:rsid w:val="00AE53DB"/>
    <w:rsid w:val="00AE5918"/>
    <w:rsid w:val="00AE5C30"/>
    <w:rsid w:val="00AE62AC"/>
    <w:rsid w:val="00AE6413"/>
    <w:rsid w:val="00AE64E4"/>
    <w:rsid w:val="00AE6A1F"/>
    <w:rsid w:val="00AE6A61"/>
    <w:rsid w:val="00AE6B2A"/>
    <w:rsid w:val="00AE6C9A"/>
    <w:rsid w:val="00AE7654"/>
    <w:rsid w:val="00AE794D"/>
    <w:rsid w:val="00AE7BE6"/>
    <w:rsid w:val="00AE7C85"/>
    <w:rsid w:val="00AE7D7A"/>
    <w:rsid w:val="00AE7DC0"/>
    <w:rsid w:val="00AE7E96"/>
    <w:rsid w:val="00AF0017"/>
    <w:rsid w:val="00AF0074"/>
    <w:rsid w:val="00AF037E"/>
    <w:rsid w:val="00AF05DF"/>
    <w:rsid w:val="00AF0AE4"/>
    <w:rsid w:val="00AF0C28"/>
    <w:rsid w:val="00AF0E76"/>
    <w:rsid w:val="00AF10E5"/>
    <w:rsid w:val="00AF1518"/>
    <w:rsid w:val="00AF1726"/>
    <w:rsid w:val="00AF1B82"/>
    <w:rsid w:val="00AF1E0A"/>
    <w:rsid w:val="00AF1F0B"/>
    <w:rsid w:val="00AF26AD"/>
    <w:rsid w:val="00AF27C1"/>
    <w:rsid w:val="00AF2A94"/>
    <w:rsid w:val="00AF2CE5"/>
    <w:rsid w:val="00AF2D06"/>
    <w:rsid w:val="00AF3192"/>
    <w:rsid w:val="00AF32AA"/>
    <w:rsid w:val="00AF34A2"/>
    <w:rsid w:val="00AF3772"/>
    <w:rsid w:val="00AF39FB"/>
    <w:rsid w:val="00AF3B32"/>
    <w:rsid w:val="00AF3B58"/>
    <w:rsid w:val="00AF3B68"/>
    <w:rsid w:val="00AF3E55"/>
    <w:rsid w:val="00AF3F28"/>
    <w:rsid w:val="00AF3F67"/>
    <w:rsid w:val="00AF4287"/>
    <w:rsid w:val="00AF445C"/>
    <w:rsid w:val="00AF4609"/>
    <w:rsid w:val="00AF4990"/>
    <w:rsid w:val="00AF4AE3"/>
    <w:rsid w:val="00AF4B46"/>
    <w:rsid w:val="00AF4BA8"/>
    <w:rsid w:val="00AF4CB0"/>
    <w:rsid w:val="00AF4CE0"/>
    <w:rsid w:val="00AF4EC5"/>
    <w:rsid w:val="00AF4FB8"/>
    <w:rsid w:val="00AF53A6"/>
    <w:rsid w:val="00AF5AC7"/>
    <w:rsid w:val="00AF5BB6"/>
    <w:rsid w:val="00AF5C6F"/>
    <w:rsid w:val="00AF61A3"/>
    <w:rsid w:val="00AF6390"/>
    <w:rsid w:val="00AF66FA"/>
    <w:rsid w:val="00AF679B"/>
    <w:rsid w:val="00AF6804"/>
    <w:rsid w:val="00AF6A53"/>
    <w:rsid w:val="00AF6A62"/>
    <w:rsid w:val="00AF6C68"/>
    <w:rsid w:val="00AF6C84"/>
    <w:rsid w:val="00AF7196"/>
    <w:rsid w:val="00AF78B2"/>
    <w:rsid w:val="00AF7920"/>
    <w:rsid w:val="00AF7CCA"/>
    <w:rsid w:val="00AF7DF7"/>
    <w:rsid w:val="00B00068"/>
    <w:rsid w:val="00B0055F"/>
    <w:rsid w:val="00B00606"/>
    <w:rsid w:val="00B0073F"/>
    <w:rsid w:val="00B00D51"/>
    <w:rsid w:val="00B00F7E"/>
    <w:rsid w:val="00B01663"/>
    <w:rsid w:val="00B016E1"/>
    <w:rsid w:val="00B016E7"/>
    <w:rsid w:val="00B017B6"/>
    <w:rsid w:val="00B01866"/>
    <w:rsid w:val="00B01A6B"/>
    <w:rsid w:val="00B01B59"/>
    <w:rsid w:val="00B01EE1"/>
    <w:rsid w:val="00B01F65"/>
    <w:rsid w:val="00B02336"/>
    <w:rsid w:val="00B025D8"/>
    <w:rsid w:val="00B02756"/>
    <w:rsid w:val="00B02850"/>
    <w:rsid w:val="00B02D8E"/>
    <w:rsid w:val="00B03075"/>
    <w:rsid w:val="00B032CA"/>
    <w:rsid w:val="00B034FE"/>
    <w:rsid w:val="00B03540"/>
    <w:rsid w:val="00B03557"/>
    <w:rsid w:val="00B03728"/>
    <w:rsid w:val="00B039AB"/>
    <w:rsid w:val="00B03CFB"/>
    <w:rsid w:val="00B047A6"/>
    <w:rsid w:val="00B04A1D"/>
    <w:rsid w:val="00B04AB7"/>
    <w:rsid w:val="00B04AF1"/>
    <w:rsid w:val="00B04F29"/>
    <w:rsid w:val="00B05176"/>
    <w:rsid w:val="00B0531D"/>
    <w:rsid w:val="00B05504"/>
    <w:rsid w:val="00B0555A"/>
    <w:rsid w:val="00B056B9"/>
    <w:rsid w:val="00B05B5A"/>
    <w:rsid w:val="00B05EF5"/>
    <w:rsid w:val="00B06135"/>
    <w:rsid w:val="00B0622D"/>
    <w:rsid w:val="00B062E3"/>
    <w:rsid w:val="00B06403"/>
    <w:rsid w:val="00B06771"/>
    <w:rsid w:val="00B06777"/>
    <w:rsid w:val="00B06835"/>
    <w:rsid w:val="00B0691C"/>
    <w:rsid w:val="00B0694D"/>
    <w:rsid w:val="00B06B02"/>
    <w:rsid w:val="00B06E7D"/>
    <w:rsid w:val="00B0704C"/>
    <w:rsid w:val="00B072FC"/>
    <w:rsid w:val="00B073ED"/>
    <w:rsid w:val="00B074D2"/>
    <w:rsid w:val="00B07ADD"/>
    <w:rsid w:val="00B07B44"/>
    <w:rsid w:val="00B07E18"/>
    <w:rsid w:val="00B07E5B"/>
    <w:rsid w:val="00B10235"/>
    <w:rsid w:val="00B10A0A"/>
    <w:rsid w:val="00B10A26"/>
    <w:rsid w:val="00B10A8F"/>
    <w:rsid w:val="00B10D72"/>
    <w:rsid w:val="00B10FE7"/>
    <w:rsid w:val="00B112C0"/>
    <w:rsid w:val="00B11452"/>
    <w:rsid w:val="00B1198A"/>
    <w:rsid w:val="00B11A23"/>
    <w:rsid w:val="00B11B32"/>
    <w:rsid w:val="00B11B6E"/>
    <w:rsid w:val="00B11BE3"/>
    <w:rsid w:val="00B11D04"/>
    <w:rsid w:val="00B11EDA"/>
    <w:rsid w:val="00B120C4"/>
    <w:rsid w:val="00B1222F"/>
    <w:rsid w:val="00B12338"/>
    <w:rsid w:val="00B124BD"/>
    <w:rsid w:val="00B127DC"/>
    <w:rsid w:val="00B12C78"/>
    <w:rsid w:val="00B12CF7"/>
    <w:rsid w:val="00B12FD7"/>
    <w:rsid w:val="00B13079"/>
    <w:rsid w:val="00B13158"/>
    <w:rsid w:val="00B1354D"/>
    <w:rsid w:val="00B13BDE"/>
    <w:rsid w:val="00B13F29"/>
    <w:rsid w:val="00B14798"/>
    <w:rsid w:val="00B14C2B"/>
    <w:rsid w:val="00B15424"/>
    <w:rsid w:val="00B154C0"/>
    <w:rsid w:val="00B154DB"/>
    <w:rsid w:val="00B1580E"/>
    <w:rsid w:val="00B15A38"/>
    <w:rsid w:val="00B160D2"/>
    <w:rsid w:val="00B16748"/>
    <w:rsid w:val="00B16771"/>
    <w:rsid w:val="00B1684E"/>
    <w:rsid w:val="00B16AE7"/>
    <w:rsid w:val="00B16C11"/>
    <w:rsid w:val="00B171C7"/>
    <w:rsid w:val="00B171CB"/>
    <w:rsid w:val="00B176AD"/>
    <w:rsid w:val="00B176D8"/>
    <w:rsid w:val="00B178A8"/>
    <w:rsid w:val="00B17AA1"/>
    <w:rsid w:val="00B2080A"/>
    <w:rsid w:val="00B20C14"/>
    <w:rsid w:val="00B20D35"/>
    <w:rsid w:val="00B20E51"/>
    <w:rsid w:val="00B20E8E"/>
    <w:rsid w:val="00B213DA"/>
    <w:rsid w:val="00B21F4F"/>
    <w:rsid w:val="00B2205D"/>
    <w:rsid w:val="00B22117"/>
    <w:rsid w:val="00B2229E"/>
    <w:rsid w:val="00B2276E"/>
    <w:rsid w:val="00B2288A"/>
    <w:rsid w:val="00B2295A"/>
    <w:rsid w:val="00B22A5C"/>
    <w:rsid w:val="00B22A93"/>
    <w:rsid w:val="00B22BB5"/>
    <w:rsid w:val="00B22CDE"/>
    <w:rsid w:val="00B22F11"/>
    <w:rsid w:val="00B231D4"/>
    <w:rsid w:val="00B23888"/>
    <w:rsid w:val="00B239D7"/>
    <w:rsid w:val="00B23C34"/>
    <w:rsid w:val="00B23F00"/>
    <w:rsid w:val="00B2408B"/>
    <w:rsid w:val="00B2430D"/>
    <w:rsid w:val="00B24521"/>
    <w:rsid w:val="00B246ED"/>
    <w:rsid w:val="00B249E6"/>
    <w:rsid w:val="00B24AF2"/>
    <w:rsid w:val="00B252C6"/>
    <w:rsid w:val="00B2553F"/>
    <w:rsid w:val="00B256AB"/>
    <w:rsid w:val="00B25850"/>
    <w:rsid w:val="00B25B03"/>
    <w:rsid w:val="00B25FD9"/>
    <w:rsid w:val="00B26159"/>
    <w:rsid w:val="00B26426"/>
    <w:rsid w:val="00B269DF"/>
    <w:rsid w:val="00B26E07"/>
    <w:rsid w:val="00B26E46"/>
    <w:rsid w:val="00B26F2C"/>
    <w:rsid w:val="00B271CC"/>
    <w:rsid w:val="00B27208"/>
    <w:rsid w:val="00B278C6"/>
    <w:rsid w:val="00B27B05"/>
    <w:rsid w:val="00B27C46"/>
    <w:rsid w:val="00B27F34"/>
    <w:rsid w:val="00B3039F"/>
    <w:rsid w:val="00B305E4"/>
    <w:rsid w:val="00B309CC"/>
    <w:rsid w:val="00B309DD"/>
    <w:rsid w:val="00B30AE5"/>
    <w:rsid w:val="00B30B67"/>
    <w:rsid w:val="00B30E0C"/>
    <w:rsid w:val="00B31150"/>
    <w:rsid w:val="00B311E3"/>
    <w:rsid w:val="00B311F9"/>
    <w:rsid w:val="00B317E4"/>
    <w:rsid w:val="00B31B5B"/>
    <w:rsid w:val="00B31CF5"/>
    <w:rsid w:val="00B32297"/>
    <w:rsid w:val="00B326F8"/>
    <w:rsid w:val="00B328E5"/>
    <w:rsid w:val="00B32EF5"/>
    <w:rsid w:val="00B336C0"/>
    <w:rsid w:val="00B34158"/>
    <w:rsid w:val="00B34450"/>
    <w:rsid w:val="00B3456D"/>
    <w:rsid w:val="00B346BA"/>
    <w:rsid w:val="00B34A4D"/>
    <w:rsid w:val="00B34AE7"/>
    <w:rsid w:val="00B34BE4"/>
    <w:rsid w:val="00B3532D"/>
    <w:rsid w:val="00B354D3"/>
    <w:rsid w:val="00B358FB"/>
    <w:rsid w:val="00B35AC1"/>
    <w:rsid w:val="00B35BDE"/>
    <w:rsid w:val="00B366A5"/>
    <w:rsid w:val="00B36AF8"/>
    <w:rsid w:val="00B36C37"/>
    <w:rsid w:val="00B36C59"/>
    <w:rsid w:val="00B36E48"/>
    <w:rsid w:val="00B37001"/>
    <w:rsid w:val="00B37341"/>
    <w:rsid w:val="00B37414"/>
    <w:rsid w:val="00B374A2"/>
    <w:rsid w:val="00B37975"/>
    <w:rsid w:val="00B37A91"/>
    <w:rsid w:val="00B37EC4"/>
    <w:rsid w:val="00B4034D"/>
    <w:rsid w:val="00B4041F"/>
    <w:rsid w:val="00B4084E"/>
    <w:rsid w:val="00B40980"/>
    <w:rsid w:val="00B40CC4"/>
    <w:rsid w:val="00B412B9"/>
    <w:rsid w:val="00B412D0"/>
    <w:rsid w:val="00B413B9"/>
    <w:rsid w:val="00B4152D"/>
    <w:rsid w:val="00B41672"/>
    <w:rsid w:val="00B417E1"/>
    <w:rsid w:val="00B41ACA"/>
    <w:rsid w:val="00B41FD1"/>
    <w:rsid w:val="00B42377"/>
    <w:rsid w:val="00B4245D"/>
    <w:rsid w:val="00B42600"/>
    <w:rsid w:val="00B42AED"/>
    <w:rsid w:val="00B42EAC"/>
    <w:rsid w:val="00B433F9"/>
    <w:rsid w:val="00B439CF"/>
    <w:rsid w:val="00B447D6"/>
    <w:rsid w:val="00B44939"/>
    <w:rsid w:val="00B449F1"/>
    <w:rsid w:val="00B44AA9"/>
    <w:rsid w:val="00B4541E"/>
    <w:rsid w:val="00B454B7"/>
    <w:rsid w:val="00B45582"/>
    <w:rsid w:val="00B45769"/>
    <w:rsid w:val="00B45BC7"/>
    <w:rsid w:val="00B45D1A"/>
    <w:rsid w:val="00B465B8"/>
    <w:rsid w:val="00B466E6"/>
    <w:rsid w:val="00B46D87"/>
    <w:rsid w:val="00B472E0"/>
    <w:rsid w:val="00B472F3"/>
    <w:rsid w:val="00B4753F"/>
    <w:rsid w:val="00B47665"/>
    <w:rsid w:val="00B477F4"/>
    <w:rsid w:val="00B479B3"/>
    <w:rsid w:val="00B47C52"/>
    <w:rsid w:val="00B47EA1"/>
    <w:rsid w:val="00B5018E"/>
    <w:rsid w:val="00B5037C"/>
    <w:rsid w:val="00B50610"/>
    <w:rsid w:val="00B508CB"/>
    <w:rsid w:val="00B509CD"/>
    <w:rsid w:val="00B50B02"/>
    <w:rsid w:val="00B50C5E"/>
    <w:rsid w:val="00B50C78"/>
    <w:rsid w:val="00B50D9B"/>
    <w:rsid w:val="00B50E09"/>
    <w:rsid w:val="00B51070"/>
    <w:rsid w:val="00B513A8"/>
    <w:rsid w:val="00B51637"/>
    <w:rsid w:val="00B51669"/>
    <w:rsid w:val="00B51BDA"/>
    <w:rsid w:val="00B51CB8"/>
    <w:rsid w:val="00B51E51"/>
    <w:rsid w:val="00B521F0"/>
    <w:rsid w:val="00B522EC"/>
    <w:rsid w:val="00B525D3"/>
    <w:rsid w:val="00B52DBB"/>
    <w:rsid w:val="00B53174"/>
    <w:rsid w:val="00B531A2"/>
    <w:rsid w:val="00B5335A"/>
    <w:rsid w:val="00B534C9"/>
    <w:rsid w:val="00B5350E"/>
    <w:rsid w:val="00B5381D"/>
    <w:rsid w:val="00B538D9"/>
    <w:rsid w:val="00B5392E"/>
    <w:rsid w:val="00B53C8C"/>
    <w:rsid w:val="00B53C9F"/>
    <w:rsid w:val="00B53E12"/>
    <w:rsid w:val="00B54148"/>
    <w:rsid w:val="00B5427C"/>
    <w:rsid w:val="00B54486"/>
    <w:rsid w:val="00B548A8"/>
    <w:rsid w:val="00B54B76"/>
    <w:rsid w:val="00B54CE1"/>
    <w:rsid w:val="00B54D09"/>
    <w:rsid w:val="00B55142"/>
    <w:rsid w:val="00B55616"/>
    <w:rsid w:val="00B557EF"/>
    <w:rsid w:val="00B55801"/>
    <w:rsid w:val="00B55A88"/>
    <w:rsid w:val="00B55BDC"/>
    <w:rsid w:val="00B55C73"/>
    <w:rsid w:val="00B55CB9"/>
    <w:rsid w:val="00B5615C"/>
    <w:rsid w:val="00B5632B"/>
    <w:rsid w:val="00B56FD3"/>
    <w:rsid w:val="00B57172"/>
    <w:rsid w:val="00B57189"/>
    <w:rsid w:val="00B57489"/>
    <w:rsid w:val="00B57B14"/>
    <w:rsid w:val="00B57B87"/>
    <w:rsid w:val="00B57F99"/>
    <w:rsid w:val="00B602C6"/>
    <w:rsid w:val="00B604D6"/>
    <w:rsid w:val="00B605B7"/>
    <w:rsid w:val="00B606A2"/>
    <w:rsid w:val="00B60A8C"/>
    <w:rsid w:val="00B60F93"/>
    <w:rsid w:val="00B6103E"/>
    <w:rsid w:val="00B61555"/>
    <w:rsid w:val="00B61596"/>
    <w:rsid w:val="00B615E1"/>
    <w:rsid w:val="00B617FD"/>
    <w:rsid w:val="00B61834"/>
    <w:rsid w:val="00B61C6B"/>
    <w:rsid w:val="00B6223C"/>
    <w:rsid w:val="00B622A7"/>
    <w:rsid w:val="00B624A5"/>
    <w:rsid w:val="00B62CB8"/>
    <w:rsid w:val="00B63072"/>
    <w:rsid w:val="00B63154"/>
    <w:rsid w:val="00B63236"/>
    <w:rsid w:val="00B63841"/>
    <w:rsid w:val="00B63B97"/>
    <w:rsid w:val="00B64015"/>
    <w:rsid w:val="00B6401D"/>
    <w:rsid w:val="00B640C1"/>
    <w:rsid w:val="00B642A1"/>
    <w:rsid w:val="00B642D0"/>
    <w:rsid w:val="00B645AC"/>
    <w:rsid w:val="00B6483A"/>
    <w:rsid w:val="00B65045"/>
    <w:rsid w:val="00B6513D"/>
    <w:rsid w:val="00B65233"/>
    <w:rsid w:val="00B652BB"/>
    <w:rsid w:val="00B65B1E"/>
    <w:rsid w:val="00B65CA1"/>
    <w:rsid w:val="00B663AB"/>
    <w:rsid w:val="00B6641B"/>
    <w:rsid w:val="00B6651D"/>
    <w:rsid w:val="00B665D0"/>
    <w:rsid w:val="00B66970"/>
    <w:rsid w:val="00B66A18"/>
    <w:rsid w:val="00B66E2E"/>
    <w:rsid w:val="00B66E99"/>
    <w:rsid w:val="00B66F04"/>
    <w:rsid w:val="00B66F74"/>
    <w:rsid w:val="00B6729A"/>
    <w:rsid w:val="00B6730F"/>
    <w:rsid w:val="00B67448"/>
    <w:rsid w:val="00B67683"/>
    <w:rsid w:val="00B676A3"/>
    <w:rsid w:val="00B67A92"/>
    <w:rsid w:val="00B67EF3"/>
    <w:rsid w:val="00B70180"/>
    <w:rsid w:val="00B704A3"/>
    <w:rsid w:val="00B70516"/>
    <w:rsid w:val="00B70977"/>
    <w:rsid w:val="00B71125"/>
    <w:rsid w:val="00B71331"/>
    <w:rsid w:val="00B71542"/>
    <w:rsid w:val="00B717AA"/>
    <w:rsid w:val="00B71D6E"/>
    <w:rsid w:val="00B71D8A"/>
    <w:rsid w:val="00B71EEE"/>
    <w:rsid w:val="00B723E5"/>
    <w:rsid w:val="00B7242A"/>
    <w:rsid w:val="00B724BD"/>
    <w:rsid w:val="00B725F3"/>
    <w:rsid w:val="00B727BC"/>
    <w:rsid w:val="00B729E8"/>
    <w:rsid w:val="00B72E72"/>
    <w:rsid w:val="00B73157"/>
    <w:rsid w:val="00B7342A"/>
    <w:rsid w:val="00B738BA"/>
    <w:rsid w:val="00B73A38"/>
    <w:rsid w:val="00B73E04"/>
    <w:rsid w:val="00B7420C"/>
    <w:rsid w:val="00B74294"/>
    <w:rsid w:val="00B745C4"/>
    <w:rsid w:val="00B745CD"/>
    <w:rsid w:val="00B74629"/>
    <w:rsid w:val="00B747B9"/>
    <w:rsid w:val="00B748C8"/>
    <w:rsid w:val="00B74A57"/>
    <w:rsid w:val="00B74F31"/>
    <w:rsid w:val="00B7502F"/>
    <w:rsid w:val="00B75744"/>
    <w:rsid w:val="00B758A2"/>
    <w:rsid w:val="00B75A7F"/>
    <w:rsid w:val="00B75BDB"/>
    <w:rsid w:val="00B75BEE"/>
    <w:rsid w:val="00B75F1D"/>
    <w:rsid w:val="00B7611C"/>
    <w:rsid w:val="00B7612C"/>
    <w:rsid w:val="00B76319"/>
    <w:rsid w:val="00B764A2"/>
    <w:rsid w:val="00B76516"/>
    <w:rsid w:val="00B76D88"/>
    <w:rsid w:val="00B76F8D"/>
    <w:rsid w:val="00B771D8"/>
    <w:rsid w:val="00B77653"/>
    <w:rsid w:val="00B776AF"/>
    <w:rsid w:val="00B778AA"/>
    <w:rsid w:val="00B778DA"/>
    <w:rsid w:val="00B779BA"/>
    <w:rsid w:val="00B77A18"/>
    <w:rsid w:val="00B77B76"/>
    <w:rsid w:val="00B77E45"/>
    <w:rsid w:val="00B77EB6"/>
    <w:rsid w:val="00B77EE9"/>
    <w:rsid w:val="00B8028B"/>
    <w:rsid w:val="00B80463"/>
    <w:rsid w:val="00B8047D"/>
    <w:rsid w:val="00B807CA"/>
    <w:rsid w:val="00B80844"/>
    <w:rsid w:val="00B80918"/>
    <w:rsid w:val="00B809D5"/>
    <w:rsid w:val="00B81041"/>
    <w:rsid w:val="00B812BD"/>
    <w:rsid w:val="00B8134F"/>
    <w:rsid w:val="00B8147E"/>
    <w:rsid w:val="00B814E3"/>
    <w:rsid w:val="00B81B66"/>
    <w:rsid w:val="00B82267"/>
    <w:rsid w:val="00B8228D"/>
    <w:rsid w:val="00B8235D"/>
    <w:rsid w:val="00B82377"/>
    <w:rsid w:val="00B823D3"/>
    <w:rsid w:val="00B82553"/>
    <w:rsid w:val="00B827D7"/>
    <w:rsid w:val="00B82BE1"/>
    <w:rsid w:val="00B82FA7"/>
    <w:rsid w:val="00B8301D"/>
    <w:rsid w:val="00B831EF"/>
    <w:rsid w:val="00B8330D"/>
    <w:rsid w:val="00B8348D"/>
    <w:rsid w:val="00B83581"/>
    <w:rsid w:val="00B83C43"/>
    <w:rsid w:val="00B83D2C"/>
    <w:rsid w:val="00B83FAC"/>
    <w:rsid w:val="00B8413B"/>
    <w:rsid w:val="00B84327"/>
    <w:rsid w:val="00B8440B"/>
    <w:rsid w:val="00B8457F"/>
    <w:rsid w:val="00B846E8"/>
    <w:rsid w:val="00B84739"/>
    <w:rsid w:val="00B84DDE"/>
    <w:rsid w:val="00B84E49"/>
    <w:rsid w:val="00B84F66"/>
    <w:rsid w:val="00B850B2"/>
    <w:rsid w:val="00B850C5"/>
    <w:rsid w:val="00B85134"/>
    <w:rsid w:val="00B85338"/>
    <w:rsid w:val="00B85436"/>
    <w:rsid w:val="00B8547C"/>
    <w:rsid w:val="00B857BB"/>
    <w:rsid w:val="00B8623B"/>
    <w:rsid w:val="00B8623E"/>
    <w:rsid w:val="00B86501"/>
    <w:rsid w:val="00B86E48"/>
    <w:rsid w:val="00B86F94"/>
    <w:rsid w:val="00B90089"/>
    <w:rsid w:val="00B90108"/>
    <w:rsid w:val="00B90383"/>
    <w:rsid w:val="00B90A4E"/>
    <w:rsid w:val="00B90E2F"/>
    <w:rsid w:val="00B912CE"/>
    <w:rsid w:val="00B9154A"/>
    <w:rsid w:val="00B91662"/>
    <w:rsid w:val="00B9180A"/>
    <w:rsid w:val="00B918AF"/>
    <w:rsid w:val="00B919AC"/>
    <w:rsid w:val="00B919F8"/>
    <w:rsid w:val="00B91C44"/>
    <w:rsid w:val="00B92406"/>
    <w:rsid w:val="00B92468"/>
    <w:rsid w:val="00B9248E"/>
    <w:rsid w:val="00B925AA"/>
    <w:rsid w:val="00B925FC"/>
    <w:rsid w:val="00B92728"/>
    <w:rsid w:val="00B92A70"/>
    <w:rsid w:val="00B92C2C"/>
    <w:rsid w:val="00B92D20"/>
    <w:rsid w:val="00B92F1B"/>
    <w:rsid w:val="00B92F84"/>
    <w:rsid w:val="00B93608"/>
    <w:rsid w:val="00B93697"/>
    <w:rsid w:val="00B93CB8"/>
    <w:rsid w:val="00B93D77"/>
    <w:rsid w:val="00B93EE0"/>
    <w:rsid w:val="00B93F3D"/>
    <w:rsid w:val="00B94447"/>
    <w:rsid w:val="00B945CA"/>
    <w:rsid w:val="00B94819"/>
    <w:rsid w:val="00B948FC"/>
    <w:rsid w:val="00B94967"/>
    <w:rsid w:val="00B94D1D"/>
    <w:rsid w:val="00B952B4"/>
    <w:rsid w:val="00B9530E"/>
    <w:rsid w:val="00B95364"/>
    <w:rsid w:val="00B95BAB"/>
    <w:rsid w:val="00B962ED"/>
    <w:rsid w:val="00B96583"/>
    <w:rsid w:val="00B969D4"/>
    <w:rsid w:val="00B96AB1"/>
    <w:rsid w:val="00B96B7A"/>
    <w:rsid w:val="00B96C8E"/>
    <w:rsid w:val="00B96F01"/>
    <w:rsid w:val="00B96F9A"/>
    <w:rsid w:val="00B96FE0"/>
    <w:rsid w:val="00B97707"/>
    <w:rsid w:val="00B97A0A"/>
    <w:rsid w:val="00B97F6B"/>
    <w:rsid w:val="00BA0181"/>
    <w:rsid w:val="00BA0317"/>
    <w:rsid w:val="00BA03A7"/>
    <w:rsid w:val="00BA03C1"/>
    <w:rsid w:val="00BA07DD"/>
    <w:rsid w:val="00BA09D7"/>
    <w:rsid w:val="00BA0B24"/>
    <w:rsid w:val="00BA0B41"/>
    <w:rsid w:val="00BA0B78"/>
    <w:rsid w:val="00BA12CB"/>
    <w:rsid w:val="00BA144A"/>
    <w:rsid w:val="00BA1529"/>
    <w:rsid w:val="00BA1577"/>
    <w:rsid w:val="00BA17FF"/>
    <w:rsid w:val="00BA196B"/>
    <w:rsid w:val="00BA1A4D"/>
    <w:rsid w:val="00BA1B02"/>
    <w:rsid w:val="00BA1B90"/>
    <w:rsid w:val="00BA292C"/>
    <w:rsid w:val="00BA2951"/>
    <w:rsid w:val="00BA29B5"/>
    <w:rsid w:val="00BA3228"/>
    <w:rsid w:val="00BA326A"/>
    <w:rsid w:val="00BA339D"/>
    <w:rsid w:val="00BA33E8"/>
    <w:rsid w:val="00BA33EE"/>
    <w:rsid w:val="00BA3559"/>
    <w:rsid w:val="00BA369E"/>
    <w:rsid w:val="00BA3B83"/>
    <w:rsid w:val="00BA4048"/>
    <w:rsid w:val="00BA42B4"/>
    <w:rsid w:val="00BA4418"/>
    <w:rsid w:val="00BA4602"/>
    <w:rsid w:val="00BA49FA"/>
    <w:rsid w:val="00BA4A40"/>
    <w:rsid w:val="00BA4A68"/>
    <w:rsid w:val="00BA4F07"/>
    <w:rsid w:val="00BA5009"/>
    <w:rsid w:val="00BA50EB"/>
    <w:rsid w:val="00BA549C"/>
    <w:rsid w:val="00BA5C97"/>
    <w:rsid w:val="00BA5DFE"/>
    <w:rsid w:val="00BA6165"/>
    <w:rsid w:val="00BA6482"/>
    <w:rsid w:val="00BA6938"/>
    <w:rsid w:val="00BA6C3F"/>
    <w:rsid w:val="00BA6FA7"/>
    <w:rsid w:val="00BA6FC7"/>
    <w:rsid w:val="00BA73FD"/>
    <w:rsid w:val="00BA7714"/>
    <w:rsid w:val="00BA7860"/>
    <w:rsid w:val="00BA7DA8"/>
    <w:rsid w:val="00BA7EDF"/>
    <w:rsid w:val="00BA7F34"/>
    <w:rsid w:val="00BA7FB7"/>
    <w:rsid w:val="00BB024D"/>
    <w:rsid w:val="00BB05F0"/>
    <w:rsid w:val="00BB067A"/>
    <w:rsid w:val="00BB079E"/>
    <w:rsid w:val="00BB0879"/>
    <w:rsid w:val="00BB0D20"/>
    <w:rsid w:val="00BB0F92"/>
    <w:rsid w:val="00BB10B0"/>
    <w:rsid w:val="00BB1599"/>
    <w:rsid w:val="00BB16D4"/>
    <w:rsid w:val="00BB1EB4"/>
    <w:rsid w:val="00BB1F88"/>
    <w:rsid w:val="00BB2430"/>
    <w:rsid w:val="00BB245D"/>
    <w:rsid w:val="00BB2743"/>
    <w:rsid w:val="00BB2BA5"/>
    <w:rsid w:val="00BB3226"/>
    <w:rsid w:val="00BB34AA"/>
    <w:rsid w:val="00BB3637"/>
    <w:rsid w:val="00BB3798"/>
    <w:rsid w:val="00BB3A77"/>
    <w:rsid w:val="00BB410B"/>
    <w:rsid w:val="00BB4EFD"/>
    <w:rsid w:val="00BB4F72"/>
    <w:rsid w:val="00BB53B3"/>
    <w:rsid w:val="00BB55ED"/>
    <w:rsid w:val="00BB5676"/>
    <w:rsid w:val="00BB575F"/>
    <w:rsid w:val="00BB5CB8"/>
    <w:rsid w:val="00BB5D30"/>
    <w:rsid w:val="00BB5FA1"/>
    <w:rsid w:val="00BB64A5"/>
    <w:rsid w:val="00BB64EB"/>
    <w:rsid w:val="00BB67EB"/>
    <w:rsid w:val="00BB6C8A"/>
    <w:rsid w:val="00BB6E52"/>
    <w:rsid w:val="00BB6F37"/>
    <w:rsid w:val="00BB7064"/>
    <w:rsid w:val="00BB72B0"/>
    <w:rsid w:val="00BB7327"/>
    <w:rsid w:val="00BB74F4"/>
    <w:rsid w:val="00BB7503"/>
    <w:rsid w:val="00BB752D"/>
    <w:rsid w:val="00BB7696"/>
    <w:rsid w:val="00BB7890"/>
    <w:rsid w:val="00BC0095"/>
    <w:rsid w:val="00BC051A"/>
    <w:rsid w:val="00BC076B"/>
    <w:rsid w:val="00BC0A30"/>
    <w:rsid w:val="00BC0B7C"/>
    <w:rsid w:val="00BC0BA9"/>
    <w:rsid w:val="00BC0F55"/>
    <w:rsid w:val="00BC11C6"/>
    <w:rsid w:val="00BC1923"/>
    <w:rsid w:val="00BC19DC"/>
    <w:rsid w:val="00BC1C54"/>
    <w:rsid w:val="00BC1D47"/>
    <w:rsid w:val="00BC21CE"/>
    <w:rsid w:val="00BC22AB"/>
    <w:rsid w:val="00BC245A"/>
    <w:rsid w:val="00BC263C"/>
    <w:rsid w:val="00BC2687"/>
    <w:rsid w:val="00BC2F50"/>
    <w:rsid w:val="00BC313D"/>
    <w:rsid w:val="00BC3BEC"/>
    <w:rsid w:val="00BC41F0"/>
    <w:rsid w:val="00BC4612"/>
    <w:rsid w:val="00BC4938"/>
    <w:rsid w:val="00BC4ACD"/>
    <w:rsid w:val="00BC51C9"/>
    <w:rsid w:val="00BC5799"/>
    <w:rsid w:val="00BC59C6"/>
    <w:rsid w:val="00BC5AF9"/>
    <w:rsid w:val="00BC5C36"/>
    <w:rsid w:val="00BC5CB1"/>
    <w:rsid w:val="00BC5F1E"/>
    <w:rsid w:val="00BC601C"/>
    <w:rsid w:val="00BC629F"/>
    <w:rsid w:val="00BC6386"/>
    <w:rsid w:val="00BC63E4"/>
    <w:rsid w:val="00BC6460"/>
    <w:rsid w:val="00BC64A9"/>
    <w:rsid w:val="00BC6603"/>
    <w:rsid w:val="00BC6926"/>
    <w:rsid w:val="00BC6D91"/>
    <w:rsid w:val="00BC6DD2"/>
    <w:rsid w:val="00BC746B"/>
    <w:rsid w:val="00BC75E7"/>
    <w:rsid w:val="00BC77D0"/>
    <w:rsid w:val="00BC7932"/>
    <w:rsid w:val="00BC7D22"/>
    <w:rsid w:val="00BD00F4"/>
    <w:rsid w:val="00BD02B6"/>
    <w:rsid w:val="00BD05A5"/>
    <w:rsid w:val="00BD0633"/>
    <w:rsid w:val="00BD0829"/>
    <w:rsid w:val="00BD0833"/>
    <w:rsid w:val="00BD0FB7"/>
    <w:rsid w:val="00BD15D4"/>
    <w:rsid w:val="00BD16FE"/>
    <w:rsid w:val="00BD1C2C"/>
    <w:rsid w:val="00BD1D1A"/>
    <w:rsid w:val="00BD1FFA"/>
    <w:rsid w:val="00BD208F"/>
    <w:rsid w:val="00BD2512"/>
    <w:rsid w:val="00BD2674"/>
    <w:rsid w:val="00BD26EE"/>
    <w:rsid w:val="00BD273B"/>
    <w:rsid w:val="00BD2FB7"/>
    <w:rsid w:val="00BD31BA"/>
    <w:rsid w:val="00BD35C1"/>
    <w:rsid w:val="00BD36C7"/>
    <w:rsid w:val="00BD37A1"/>
    <w:rsid w:val="00BD3861"/>
    <w:rsid w:val="00BD3D74"/>
    <w:rsid w:val="00BD3EA9"/>
    <w:rsid w:val="00BD3F96"/>
    <w:rsid w:val="00BD4289"/>
    <w:rsid w:val="00BD4706"/>
    <w:rsid w:val="00BD47B1"/>
    <w:rsid w:val="00BD47C0"/>
    <w:rsid w:val="00BD4B13"/>
    <w:rsid w:val="00BD5032"/>
    <w:rsid w:val="00BD5500"/>
    <w:rsid w:val="00BD5513"/>
    <w:rsid w:val="00BD56CA"/>
    <w:rsid w:val="00BD586B"/>
    <w:rsid w:val="00BD594C"/>
    <w:rsid w:val="00BD5B9E"/>
    <w:rsid w:val="00BD5DCE"/>
    <w:rsid w:val="00BD5F31"/>
    <w:rsid w:val="00BD61A9"/>
    <w:rsid w:val="00BD628A"/>
    <w:rsid w:val="00BD6322"/>
    <w:rsid w:val="00BD65AC"/>
    <w:rsid w:val="00BD6805"/>
    <w:rsid w:val="00BD6971"/>
    <w:rsid w:val="00BD69F0"/>
    <w:rsid w:val="00BD6A6B"/>
    <w:rsid w:val="00BD6B76"/>
    <w:rsid w:val="00BD6FBF"/>
    <w:rsid w:val="00BD6FED"/>
    <w:rsid w:val="00BD7406"/>
    <w:rsid w:val="00BD76C8"/>
    <w:rsid w:val="00BD771A"/>
    <w:rsid w:val="00BD79C6"/>
    <w:rsid w:val="00BD7F57"/>
    <w:rsid w:val="00BE0091"/>
    <w:rsid w:val="00BE0155"/>
    <w:rsid w:val="00BE015B"/>
    <w:rsid w:val="00BE0548"/>
    <w:rsid w:val="00BE05DB"/>
    <w:rsid w:val="00BE0BF1"/>
    <w:rsid w:val="00BE0D3E"/>
    <w:rsid w:val="00BE1159"/>
    <w:rsid w:val="00BE13B7"/>
    <w:rsid w:val="00BE17CE"/>
    <w:rsid w:val="00BE182D"/>
    <w:rsid w:val="00BE18D7"/>
    <w:rsid w:val="00BE1B5B"/>
    <w:rsid w:val="00BE21BE"/>
    <w:rsid w:val="00BE257B"/>
    <w:rsid w:val="00BE2A9E"/>
    <w:rsid w:val="00BE2AF9"/>
    <w:rsid w:val="00BE2C6A"/>
    <w:rsid w:val="00BE2D03"/>
    <w:rsid w:val="00BE2D15"/>
    <w:rsid w:val="00BE2FC7"/>
    <w:rsid w:val="00BE3060"/>
    <w:rsid w:val="00BE3189"/>
    <w:rsid w:val="00BE34EA"/>
    <w:rsid w:val="00BE3647"/>
    <w:rsid w:val="00BE370B"/>
    <w:rsid w:val="00BE3771"/>
    <w:rsid w:val="00BE394B"/>
    <w:rsid w:val="00BE3A8E"/>
    <w:rsid w:val="00BE3AA2"/>
    <w:rsid w:val="00BE3D4F"/>
    <w:rsid w:val="00BE3DA3"/>
    <w:rsid w:val="00BE3E89"/>
    <w:rsid w:val="00BE3F36"/>
    <w:rsid w:val="00BE41BE"/>
    <w:rsid w:val="00BE48E9"/>
    <w:rsid w:val="00BE4998"/>
    <w:rsid w:val="00BE4AB8"/>
    <w:rsid w:val="00BE4B3D"/>
    <w:rsid w:val="00BE53C5"/>
    <w:rsid w:val="00BE5748"/>
    <w:rsid w:val="00BE5AA3"/>
    <w:rsid w:val="00BE5BC8"/>
    <w:rsid w:val="00BE6129"/>
    <w:rsid w:val="00BE6269"/>
    <w:rsid w:val="00BE6520"/>
    <w:rsid w:val="00BE653E"/>
    <w:rsid w:val="00BE66A4"/>
    <w:rsid w:val="00BE6787"/>
    <w:rsid w:val="00BE6B65"/>
    <w:rsid w:val="00BE6C39"/>
    <w:rsid w:val="00BE6CBB"/>
    <w:rsid w:val="00BE6D7E"/>
    <w:rsid w:val="00BE70D9"/>
    <w:rsid w:val="00BE7E25"/>
    <w:rsid w:val="00BE7E9F"/>
    <w:rsid w:val="00BF039F"/>
    <w:rsid w:val="00BF0712"/>
    <w:rsid w:val="00BF077D"/>
    <w:rsid w:val="00BF0929"/>
    <w:rsid w:val="00BF0B14"/>
    <w:rsid w:val="00BF0C29"/>
    <w:rsid w:val="00BF0E30"/>
    <w:rsid w:val="00BF1278"/>
    <w:rsid w:val="00BF1892"/>
    <w:rsid w:val="00BF2107"/>
    <w:rsid w:val="00BF239A"/>
    <w:rsid w:val="00BF27C5"/>
    <w:rsid w:val="00BF297A"/>
    <w:rsid w:val="00BF2CE1"/>
    <w:rsid w:val="00BF2CF9"/>
    <w:rsid w:val="00BF31D5"/>
    <w:rsid w:val="00BF31FB"/>
    <w:rsid w:val="00BF33E7"/>
    <w:rsid w:val="00BF33FF"/>
    <w:rsid w:val="00BF35B1"/>
    <w:rsid w:val="00BF3B04"/>
    <w:rsid w:val="00BF423C"/>
    <w:rsid w:val="00BF4DE7"/>
    <w:rsid w:val="00BF54BD"/>
    <w:rsid w:val="00BF54C2"/>
    <w:rsid w:val="00BF57A1"/>
    <w:rsid w:val="00BF58D0"/>
    <w:rsid w:val="00BF5A06"/>
    <w:rsid w:val="00BF5E97"/>
    <w:rsid w:val="00BF5EC2"/>
    <w:rsid w:val="00BF6151"/>
    <w:rsid w:val="00BF66BC"/>
    <w:rsid w:val="00BF6BCB"/>
    <w:rsid w:val="00BF6E23"/>
    <w:rsid w:val="00BF6E5D"/>
    <w:rsid w:val="00BF7079"/>
    <w:rsid w:val="00BF73F4"/>
    <w:rsid w:val="00BF744F"/>
    <w:rsid w:val="00BF7861"/>
    <w:rsid w:val="00BF7A23"/>
    <w:rsid w:val="00BF7CCD"/>
    <w:rsid w:val="00C0015D"/>
    <w:rsid w:val="00C00560"/>
    <w:rsid w:val="00C00E2C"/>
    <w:rsid w:val="00C011A4"/>
    <w:rsid w:val="00C012AF"/>
    <w:rsid w:val="00C01406"/>
    <w:rsid w:val="00C01407"/>
    <w:rsid w:val="00C01539"/>
    <w:rsid w:val="00C01723"/>
    <w:rsid w:val="00C0177B"/>
    <w:rsid w:val="00C0178D"/>
    <w:rsid w:val="00C01A05"/>
    <w:rsid w:val="00C01A73"/>
    <w:rsid w:val="00C02181"/>
    <w:rsid w:val="00C02559"/>
    <w:rsid w:val="00C0283A"/>
    <w:rsid w:val="00C028F9"/>
    <w:rsid w:val="00C02C8B"/>
    <w:rsid w:val="00C02D13"/>
    <w:rsid w:val="00C02D99"/>
    <w:rsid w:val="00C02F00"/>
    <w:rsid w:val="00C02F42"/>
    <w:rsid w:val="00C030D0"/>
    <w:rsid w:val="00C0330D"/>
    <w:rsid w:val="00C033D6"/>
    <w:rsid w:val="00C033F7"/>
    <w:rsid w:val="00C03510"/>
    <w:rsid w:val="00C03678"/>
    <w:rsid w:val="00C03835"/>
    <w:rsid w:val="00C03A9C"/>
    <w:rsid w:val="00C03D10"/>
    <w:rsid w:val="00C0413A"/>
    <w:rsid w:val="00C0456E"/>
    <w:rsid w:val="00C04BD1"/>
    <w:rsid w:val="00C04DB1"/>
    <w:rsid w:val="00C04DCB"/>
    <w:rsid w:val="00C0506F"/>
    <w:rsid w:val="00C050FA"/>
    <w:rsid w:val="00C05279"/>
    <w:rsid w:val="00C052D2"/>
    <w:rsid w:val="00C05CDB"/>
    <w:rsid w:val="00C05EE1"/>
    <w:rsid w:val="00C05FD7"/>
    <w:rsid w:val="00C0673B"/>
    <w:rsid w:val="00C067AC"/>
    <w:rsid w:val="00C06842"/>
    <w:rsid w:val="00C068A0"/>
    <w:rsid w:val="00C06F2B"/>
    <w:rsid w:val="00C07450"/>
    <w:rsid w:val="00C074D5"/>
    <w:rsid w:val="00C07667"/>
    <w:rsid w:val="00C078D2"/>
    <w:rsid w:val="00C07B64"/>
    <w:rsid w:val="00C07DAA"/>
    <w:rsid w:val="00C07F15"/>
    <w:rsid w:val="00C07FB0"/>
    <w:rsid w:val="00C10376"/>
    <w:rsid w:val="00C10758"/>
    <w:rsid w:val="00C10C93"/>
    <w:rsid w:val="00C10D62"/>
    <w:rsid w:val="00C10FE6"/>
    <w:rsid w:val="00C1134F"/>
    <w:rsid w:val="00C114B6"/>
    <w:rsid w:val="00C11803"/>
    <w:rsid w:val="00C11E3B"/>
    <w:rsid w:val="00C11E4E"/>
    <w:rsid w:val="00C12047"/>
    <w:rsid w:val="00C12263"/>
    <w:rsid w:val="00C12D0E"/>
    <w:rsid w:val="00C12EEC"/>
    <w:rsid w:val="00C12EF6"/>
    <w:rsid w:val="00C135F3"/>
    <w:rsid w:val="00C1362F"/>
    <w:rsid w:val="00C13663"/>
    <w:rsid w:val="00C137F1"/>
    <w:rsid w:val="00C13847"/>
    <w:rsid w:val="00C1389F"/>
    <w:rsid w:val="00C13E97"/>
    <w:rsid w:val="00C13EFF"/>
    <w:rsid w:val="00C13FA1"/>
    <w:rsid w:val="00C1409A"/>
    <w:rsid w:val="00C1415A"/>
    <w:rsid w:val="00C1472D"/>
    <w:rsid w:val="00C147BC"/>
    <w:rsid w:val="00C14C12"/>
    <w:rsid w:val="00C14CB0"/>
    <w:rsid w:val="00C14CC1"/>
    <w:rsid w:val="00C14D8E"/>
    <w:rsid w:val="00C14EAA"/>
    <w:rsid w:val="00C15195"/>
    <w:rsid w:val="00C1519F"/>
    <w:rsid w:val="00C15624"/>
    <w:rsid w:val="00C1563A"/>
    <w:rsid w:val="00C156B0"/>
    <w:rsid w:val="00C15829"/>
    <w:rsid w:val="00C15951"/>
    <w:rsid w:val="00C159A9"/>
    <w:rsid w:val="00C15ECB"/>
    <w:rsid w:val="00C160F0"/>
    <w:rsid w:val="00C16281"/>
    <w:rsid w:val="00C16CC4"/>
    <w:rsid w:val="00C16D5D"/>
    <w:rsid w:val="00C16F2F"/>
    <w:rsid w:val="00C16F38"/>
    <w:rsid w:val="00C17577"/>
    <w:rsid w:val="00C1769B"/>
    <w:rsid w:val="00C1771F"/>
    <w:rsid w:val="00C177EF"/>
    <w:rsid w:val="00C1783E"/>
    <w:rsid w:val="00C17F41"/>
    <w:rsid w:val="00C20097"/>
    <w:rsid w:val="00C200D9"/>
    <w:rsid w:val="00C203EC"/>
    <w:rsid w:val="00C204C6"/>
    <w:rsid w:val="00C20607"/>
    <w:rsid w:val="00C207F7"/>
    <w:rsid w:val="00C20D56"/>
    <w:rsid w:val="00C20EB2"/>
    <w:rsid w:val="00C213C1"/>
    <w:rsid w:val="00C21552"/>
    <w:rsid w:val="00C21566"/>
    <w:rsid w:val="00C21D35"/>
    <w:rsid w:val="00C21FCE"/>
    <w:rsid w:val="00C2218A"/>
    <w:rsid w:val="00C22686"/>
    <w:rsid w:val="00C22770"/>
    <w:rsid w:val="00C22DFA"/>
    <w:rsid w:val="00C22E07"/>
    <w:rsid w:val="00C22F70"/>
    <w:rsid w:val="00C233EE"/>
    <w:rsid w:val="00C2342A"/>
    <w:rsid w:val="00C23790"/>
    <w:rsid w:val="00C23926"/>
    <w:rsid w:val="00C23E6B"/>
    <w:rsid w:val="00C24320"/>
    <w:rsid w:val="00C2451F"/>
    <w:rsid w:val="00C2487A"/>
    <w:rsid w:val="00C24DA1"/>
    <w:rsid w:val="00C25129"/>
    <w:rsid w:val="00C25251"/>
    <w:rsid w:val="00C25259"/>
    <w:rsid w:val="00C25320"/>
    <w:rsid w:val="00C257F6"/>
    <w:rsid w:val="00C25984"/>
    <w:rsid w:val="00C25B0F"/>
    <w:rsid w:val="00C263DD"/>
    <w:rsid w:val="00C26A6B"/>
    <w:rsid w:val="00C26D9C"/>
    <w:rsid w:val="00C26E38"/>
    <w:rsid w:val="00C26F07"/>
    <w:rsid w:val="00C2713D"/>
    <w:rsid w:val="00C2730C"/>
    <w:rsid w:val="00C27538"/>
    <w:rsid w:val="00C275CB"/>
    <w:rsid w:val="00C27749"/>
    <w:rsid w:val="00C279A3"/>
    <w:rsid w:val="00C279E9"/>
    <w:rsid w:val="00C27ACB"/>
    <w:rsid w:val="00C27D66"/>
    <w:rsid w:val="00C27EE4"/>
    <w:rsid w:val="00C300D0"/>
    <w:rsid w:val="00C30156"/>
    <w:rsid w:val="00C306C8"/>
    <w:rsid w:val="00C309D6"/>
    <w:rsid w:val="00C30A81"/>
    <w:rsid w:val="00C30E35"/>
    <w:rsid w:val="00C31389"/>
    <w:rsid w:val="00C314CD"/>
    <w:rsid w:val="00C31BA1"/>
    <w:rsid w:val="00C31CA5"/>
    <w:rsid w:val="00C31EE9"/>
    <w:rsid w:val="00C321D5"/>
    <w:rsid w:val="00C322F1"/>
    <w:rsid w:val="00C323DA"/>
    <w:rsid w:val="00C3258B"/>
    <w:rsid w:val="00C3260A"/>
    <w:rsid w:val="00C32826"/>
    <w:rsid w:val="00C32BB7"/>
    <w:rsid w:val="00C32DD9"/>
    <w:rsid w:val="00C32E39"/>
    <w:rsid w:val="00C32FFC"/>
    <w:rsid w:val="00C33071"/>
    <w:rsid w:val="00C33353"/>
    <w:rsid w:val="00C339F3"/>
    <w:rsid w:val="00C341E7"/>
    <w:rsid w:val="00C34575"/>
    <w:rsid w:val="00C349DC"/>
    <w:rsid w:val="00C34E44"/>
    <w:rsid w:val="00C35039"/>
    <w:rsid w:val="00C35A22"/>
    <w:rsid w:val="00C35D51"/>
    <w:rsid w:val="00C35DE0"/>
    <w:rsid w:val="00C36388"/>
    <w:rsid w:val="00C364F0"/>
    <w:rsid w:val="00C36827"/>
    <w:rsid w:val="00C36961"/>
    <w:rsid w:val="00C372EB"/>
    <w:rsid w:val="00C373DA"/>
    <w:rsid w:val="00C373DE"/>
    <w:rsid w:val="00C375D7"/>
    <w:rsid w:val="00C37781"/>
    <w:rsid w:val="00C37964"/>
    <w:rsid w:val="00C37C4E"/>
    <w:rsid w:val="00C37D42"/>
    <w:rsid w:val="00C37F65"/>
    <w:rsid w:val="00C40050"/>
    <w:rsid w:val="00C4047E"/>
    <w:rsid w:val="00C407DF"/>
    <w:rsid w:val="00C40C7C"/>
    <w:rsid w:val="00C41BB9"/>
    <w:rsid w:val="00C41E74"/>
    <w:rsid w:val="00C42114"/>
    <w:rsid w:val="00C42176"/>
    <w:rsid w:val="00C42B7A"/>
    <w:rsid w:val="00C42C1F"/>
    <w:rsid w:val="00C42D1F"/>
    <w:rsid w:val="00C42F14"/>
    <w:rsid w:val="00C430F0"/>
    <w:rsid w:val="00C431BD"/>
    <w:rsid w:val="00C4360C"/>
    <w:rsid w:val="00C43A33"/>
    <w:rsid w:val="00C43A94"/>
    <w:rsid w:val="00C43D73"/>
    <w:rsid w:val="00C43D76"/>
    <w:rsid w:val="00C440DE"/>
    <w:rsid w:val="00C4417A"/>
    <w:rsid w:val="00C441DE"/>
    <w:rsid w:val="00C44264"/>
    <w:rsid w:val="00C4474F"/>
    <w:rsid w:val="00C44800"/>
    <w:rsid w:val="00C44BB2"/>
    <w:rsid w:val="00C44CC1"/>
    <w:rsid w:val="00C450A9"/>
    <w:rsid w:val="00C455B3"/>
    <w:rsid w:val="00C45862"/>
    <w:rsid w:val="00C45A31"/>
    <w:rsid w:val="00C45BDD"/>
    <w:rsid w:val="00C45D80"/>
    <w:rsid w:val="00C468FC"/>
    <w:rsid w:val="00C46C19"/>
    <w:rsid w:val="00C46E60"/>
    <w:rsid w:val="00C46E7A"/>
    <w:rsid w:val="00C47178"/>
    <w:rsid w:val="00C4774E"/>
    <w:rsid w:val="00C47B34"/>
    <w:rsid w:val="00C47F0C"/>
    <w:rsid w:val="00C500FF"/>
    <w:rsid w:val="00C503B0"/>
    <w:rsid w:val="00C506AD"/>
    <w:rsid w:val="00C50771"/>
    <w:rsid w:val="00C50DCB"/>
    <w:rsid w:val="00C51278"/>
    <w:rsid w:val="00C512F4"/>
    <w:rsid w:val="00C516DF"/>
    <w:rsid w:val="00C5174F"/>
    <w:rsid w:val="00C51F9A"/>
    <w:rsid w:val="00C52119"/>
    <w:rsid w:val="00C52279"/>
    <w:rsid w:val="00C52330"/>
    <w:rsid w:val="00C528D2"/>
    <w:rsid w:val="00C52B54"/>
    <w:rsid w:val="00C52FB9"/>
    <w:rsid w:val="00C53A44"/>
    <w:rsid w:val="00C53AC6"/>
    <w:rsid w:val="00C53BC0"/>
    <w:rsid w:val="00C53FE9"/>
    <w:rsid w:val="00C5451F"/>
    <w:rsid w:val="00C5499E"/>
    <w:rsid w:val="00C54A27"/>
    <w:rsid w:val="00C54AB5"/>
    <w:rsid w:val="00C54CFB"/>
    <w:rsid w:val="00C550A5"/>
    <w:rsid w:val="00C55A2D"/>
    <w:rsid w:val="00C55A38"/>
    <w:rsid w:val="00C55A3A"/>
    <w:rsid w:val="00C55CEB"/>
    <w:rsid w:val="00C56223"/>
    <w:rsid w:val="00C564D9"/>
    <w:rsid w:val="00C5676C"/>
    <w:rsid w:val="00C56C72"/>
    <w:rsid w:val="00C5745A"/>
    <w:rsid w:val="00C574F6"/>
    <w:rsid w:val="00C57DE3"/>
    <w:rsid w:val="00C601D6"/>
    <w:rsid w:val="00C6032F"/>
    <w:rsid w:val="00C6049E"/>
    <w:rsid w:val="00C6051A"/>
    <w:rsid w:val="00C608DA"/>
    <w:rsid w:val="00C611F5"/>
    <w:rsid w:val="00C61488"/>
    <w:rsid w:val="00C61B4B"/>
    <w:rsid w:val="00C61DC8"/>
    <w:rsid w:val="00C61DF0"/>
    <w:rsid w:val="00C6209F"/>
    <w:rsid w:val="00C62524"/>
    <w:rsid w:val="00C6257B"/>
    <w:rsid w:val="00C62872"/>
    <w:rsid w:val="00C62BA2"/>
    <w:rsid w:val="00C62C26"/>
    <w:rsid w:val="00C62C80"/>
    <w:rsid w:val="00C62D07"/>
    <w:rsid w:val="00C62E1A"/>
    <w:rsid w:val="00C62EE2"/>
    <w:rsid w:val="00C63080"/>
    <w:rsid w:val="00C630BB"/>
    <w:rsid w:val="00C63170"/>
    <w:rsid w:val="00C639E7"/>
    <w:rsid w:val="00C63A7E"/>
    <w:rsid w:val="00C63B6A"/>
    <w:rsid w:val="00C63C61"/>
    <w:rsid w:val="00C63D1A"/>
    <w:rsid w:val="00C63F0D"/>
    <w:rsid w:val="00C64454"/>
    <w:rsid w:val="00C64691"/>
    <w:rsid w:val="00C64840"/>
    <w:rsid w:val="00C64CA7"/>
    <w:rsid w:val="00C64CDE"/>
    <w:rsid w:val="00C64E2B"/>
    <w:rsid w:val="00C6587E"/>
    <w:rsid w:val="00C65B57"/>
    <w:rsid w:val="00C65CE4"/>
    <w:rsid w:val="00C65CEA"/>
    <w:rsid w:val="00C65D8D"/>
    <w:rsid w:val="00C65EA7"/>
    <w:rsid w:val="00C65FB1"/>
    <w:rsid w:val="00C66476"/>
    <w:rsid w:val="00C66546"/>
    <w:rsid w:val="00C665E7"/>
    <w:rsid w:val="00C666C8"/>
    <w:rsid w:val="00C66A6D"/>
    <w:rsid w:val="00C66B43"/>
    <w:rsid w:val="00C66DC1"/>
    <w:rsid w:val="00C670A4"/>
    <w:rsid w:val="00C67228"/>
    <w:rsid w:val="00C6743F"/>
    <w:rsid w:val="00C674E5"/>
    <w:rsid w:val="00C679AB"/>
    <w:rsid w:val="00C67C94"/>
    <w:rsid w:val="00C67ED7"/>
    <w:rsid w:val="00C67F70"/>
    <w:rsid w:val="00C700A3"/>
    <w:rsid w:val="00C70942"/>
    <w:rsid w:val="00C709A1"/>
    <w:rsid w:val="00C7104A"/>
    <w:rsid w:val="00C71B31"/>
    <w:rsid w:val="00C71CC1"/>
    <w:rsid w:val="00C7211B"/>
    <w:rsid w:val="00C721DC"/>
    <w:rsid w:val="00C721FF"/>
    <w:rsid w:val="00C7296B"/>
    <w:rsid w:val="00C72A89"/>
    <w:rsid w:val="00C72DDC"/>
    <w:rsid w:val="00C73B10"/>
    <w:rsid w:val="00C73BF6"/>
    <w:rsid w:val="00C73CC0"/>
    <w:rsid w:val="00C73CE6"/>
    <w:rsid w:val="00C7411F"/>
    <w:rsid w:val="00C7412C"/>
    <w:rsid w:val="00C7422A"/>
    <w:rsid w:val="00C74315"/>
    <w:rsid w:val="00C74437"/>
    <w:rsid w:val="00C745A4"/>
    <w:rsid w:val="00C746BA"/>
    <w:rsid w:val="00C74EAA"/>
    <w:rsid w:val="00C74FCF"/>
    <w:rsid w:val="00C75244"/>
    <w:rsid w:val="00C75303"/>
    <w:rsid w:val="00C7569A"/>
    <w:rsid w:val="00C75D99"/>
    <w:rsid w:val="00C75DA6"/>
    <w:rsid w:val="00C76027"/>
    <w:rsid w:val="00C76045"/>
    <w:rsid w:val="00C767C8"/>
    <w:rsid w:val="00C7699D"/>
    <w:rsid w:val="00C769A9"/>
    <w:rsid w:val="00C76D3D"/>
    <w:rsid w:val="00C77128"/>
    <w:rsid w:val="00C77328"/>
    <w:rsid w:val="00C7735A"/>
    <w:rsid w:val="00C7742A"/>
    <w:rsid w:val="00C775EE"/>
    <w:rsid w:val="00C776BD"/>
    <w:rsid w:val="00C77756"/>
    <w:rsid w:val="00C777E5"/>
    <w:rsid w:val="00C80321"/>
    <w:rsid w:val="00C80A96"/>
    <w:rsid w:val="00C80B07"/>
    <w:rsid w:val="00C8119F"/>
    <w:rsid w:val="00C815EB"/>
    <w:rsid w:val="00C8206D"/>
    <w:rsid w:val="00C8231E"/>
    <w:rsid w:val="00C824BB"/>
    <w:rsid w:val="00C824FA"/>
    <w:rsid w:val="00C82696"/>
    <w:rsid w:val="00C82717"/>
    <w:rsid w:val="00C829F0"/>
    <w:rsid w:val="00C82C19"/>
    <w:rsid w:val="00C831E0"/>
    <w:rsid w:val="00C83683"/>
    <w:rsid w:val="00C83697"/>
    <w:rsid w:val="00C83949"/>
    <w:rsid w:val="00C83C57"/>
    <w:rsid w:val="00C83E26"/>
    <w:rsid w:val="00C83E5E"/>
    <w:rsid w:val="00C8405D"/>
    <w:rsid w:val="00C841D5"/>
    <w:rsid w:val="00C841DF"/>
    <w:rsid w:val="00C842A0"/>
    <w:rsid w:val="00C84497"/>
    <w:rsid w:val="00C84628"/>
    <w:rsid w:val="00C8466E"/>
    <w:rsid w:val="00C8469D"/>
    <w:rsid w:val="00C84819"/>
    <w:rsid w:val="00C84AC7"/>
    <w:rsid w:val="00C84C13"/>
    <w:rsid w:val="00C84D96"/>
    <w:rsid w:val="00C84E50"/>
    <w:rsid w:val="00C8514A"/>
    <w:rsid w:val="00C852F8"/>
    <w:rsid w:val="00C85477"/>
    <w:rsid w:val="00C854C3"/>
    <w:rsid w:val="00C8583C"/>
    <w:rsid w:val="00C8598D"/>
    <w:rsid w:val="00C85E95"/>
    <w:rsid w:val="00C8644E"/>
    <w:rsid w:val="00C867A6"/>
    <w:rsid w:val="00C867E1"/>
    <w:rsid w:val="00C86A7A"/>
    <w:rsid w:val="00C86AA3"/>
    <w:rsid w:val="00C86BD1"/>
    <w:rsid w:val="00C86DFE"/>
    <w:rsid w:val="00C86FB0"/>
    <w:rsid w:val="00C87322"/>
    <w:rsid w:val="00C87387"/>
    <w:rsid w:val="00C8744D"/>
    <w:rsid w:val="00C87450"/>
    <w:rsid w:val="00C8762B"/>
    <w:rsid w:val="00C87802"/>
    <w:rsid w:val="00C879A0"/>
    <w:rsid w:val="00C879E7"/>
    <w:rsid w:val="00C87DA1"/>
    <w:rsid w:val="00C87DE9"/>
    <w:rsid w:val="00C904AD"/>
    <w:rsid w:val="00C90814"/>
    <w:rsid w:val="00C9088A"/>
    <w:rsid w:val="00C90940"/>
    <w:rsid w:val="00C90CF3"/>
    <w:rsid w:val="00C90DA5"/>
    <w:rsid w:val="00C90EB7"/>
    <w:rsid w:val="00C91065"/>
    <w:rsid w:val="00C916B8"/>
    <w:rsid w:val="00C91A32"/>
    <w:rsid w:val="00C92000"/>
    <w:rsid w:val="00C925BE"/>
    <w:rsid w:val="00C92850"/>
    <w:rsid w:val="00C93177"/>
    <w:rsid w:val="00C932F9"/>
    <w:rsid w:val="00C933CF"/>
    <w:rsid w:val="00C9342F"/>
    <w:rsid w:val="00C9365D"/>
    <w:rsid w:val="00C9365F"/>
    <w:rsid w:val="00C93811"/>
    <w:rsid w:val="00C93BBC"/>
    <w:rsid w:val="00C93C27"/>
    <w:rsid w:val="00C93C6F"/>
    <w:rsid w:val="00C93D6E"/>
    <w:rsid w:val="00C93DC9"/>
    <w:rsid w:val="00C94033"/>
    <w:rsid w:val="00C941F1"/>
    <w:rsid w:val="00C944C0"/>
    <w:rsid w:val="00C94632"/>
    <w:rsid w:val="00C94933"/>
    <w:rsid w:val="00C9499A"/>
    <w:rsid w:val="00C94ABE"/>
    <w:rsid w:val="00C94C80"/>
    <w:rsid w:val="00C94F94"/>
    <w:rsid w:val="00C95407"/>
    <w:rsid w:val="00C954C1"/>
    <w:rsid w:val="00C95712"/>
    <w:rsid w:val="00C9572C"/>
    <w:rsid w:val="00C958C3"/>
    <w:rsid w:val="00C95BC0"/>
    <w:rsid w:val="00C95BE0"/>
    <w:rsid w:val="00C9601E"/>
    <w:rsid w:val="00C96042"/>
    <w:rsid w:val="00C96463"/>
    <w:rsid w:val="00C9674D"/>
    <w:rsid w:val="00C96B1F"/>
    <w:rsid w:val="00C96C77"/>
    <w:rsid w:val="00C96F09"/>
    <w:rsid w:val="00C97396"/>
    <w:rsid w:val="00C97501"/>
    <w:rsid w:val="00C977C4"/>
    <w:rsid w:val="00C97971"/>
    <w:rsid w:val="00C97AAF"/>
    <w:rsid w:val="00C97E11"/>
    <w:rsid w:val="00CA00BD"/>
    <w:rsid w:val="00CA084B"/>
    <w:rsid w:val="00CA0917"/>
    <w:rsid w:val="00CA0A5C"/>
    <w:rsid w:val="00CA0D59"/>
    <w:rsid w:val="00CA10B3"/>
    <w:rsid w:val="00CA145A"/>
    <w:rsid w:val="00CA14A8"/>
    <w:rsid w:val="00CA162B"/>
    <w:rsid w:val="00CA1640"/>
    <w:rsid w:val="00CA1AD6"/>
    <w:rsid w:val="00CA2B24"/>
    <w:rsid w:val="00CA2BBB"/>
    <w:rsid w:val="00CA2CCC"/>
    <w:rsid w:val="00CA2DB1"/>
    <w:rsid w:val="00CA2E3D"/>
    <w:rsid w:val="00CA3831"/>
    <w:rsid w:val="00CA397A"/>
    <w:rsid w:val="00CA3AFF"/>
    <w:rsid w:val="00CA3CDA"/>
    <w:rsid w:val="00CA3FC7"/>
    <w:rsid w:val="00CA4077"/>
    <w:rsid w:val="00CA42C7"/>
    <w:rsid w:val="00CA4715"/>
    <w:rsid w:val="00CA485F"/>
    <w:rsid w:val="00CA4E46"/>
    <w:rsid w:val="00CA5020"/>
    <w:rsid w:val="00CA5348"/>
    <w:rsid w:val="00CA6189"/>
    <w:rsid w:val="00CA6408"/>
    <w:rsid w:val="00CA66E4"/>
    <w:rsid w:val="00CA6709"/>
    <w:rsid w:val="00CA6A76"/>
    <w:rsid w:val="00CA7000"/>
    <w:rsid w:val="00CA715E"/>
    <w:rsid w:val="00CA717A"/>
    <w:rsid w:val="00CA738B"/>
    <w:rsid w:val="00CA7B21"/>
    <w:rsid w:val="00CA7C8F"/>
    <w:rsid w:val="00CA7CD3"/>
    <w:rsid w:val="00CA7F93"/>
    <w:rsid w:val="00CA7FAC"/>
    <w:rsid w:val="00CB025D"/>
    <w:rsid w:val="00CB05C9"/>
    <w:rsid w:val="00CB0EDE"/>
    <w:rsid w:val="00CB0FD0"/>
    <w:rsid w:val="00CB118B"/>
    <w:rsid w:val="00CB11D4"/>
    <w:rsid w:val="00CB137B"/>
    <w:rsid w:val="00CB1519"/>
    <w:rsid w:val="00CB1A01"/>
    <w:rsid w:val="00CB1AD2"/>
    <w:rsid w:val="00CB1AEB"/>
    <w:rsid w:val="00CB1E9D"/>
    <w:rsid w:val="00CB209D"/>
    <w:rsid w:val="00CB2427"/>
    <w:rsid w:val="00CB2C97"/>
    <w:rsid w:val="00CB3B45"/>
    <w:rsid w:val="00CB3B6E"/>
    <w:rsid w:val="00CB3FF6"/>
    <w:rsid w:val="00CB44CB"/>
    <w:rsid w:val="00CB488B"/>
    <w:rsid w:val="00CB5109"/>
    <w:rsid w:val="00CB5872"/>
    <w:rsid w:val="00CB5B05"/>
    <w:rsid w:val="00CB5BEF"/>
    <w:rsid w:val="00CB5C59"/>
    <w:rsid w:val="00CB5FEF"/>
    <w:rsid w:val="00CB5FFB"/>
    <w:rsid w:val="00CB63A1"/>
    <w:rsid w:val="00CB63C9"/>
    <w:rsid w:val="00CB663B"/>
    <w:rsid w:val="00CB66E5"/>
    <w:rsid w:val="00CB68DD"/>
    <w:rsid w:val="00CB6A38"/>
    <w:rsid w:val="00CB6B89"/>
    <w:rsid w:val="00CB6D41"/>
    <w:rsid w:val="00CB700C"/>
    <w:rsid w:val="00CB71D5"/>
    <w:rsid w:val="00CB7528"/>
    <w:rsid w:val="00CB787F"/>
    <w:rsid w:val="00CB7CB6"/>
    <w:rsid w:val="00CB7E8F"/>
    <w:rsid w:val="00CB7F65"/>
    <w:rsid w:val="00CC011E"/>
    <w:rsid w:val="00CC02D8"/>
    <w:rsid w:val="00CC0598"/>
    <w:rsid w:val="00CC09A0"/>
    <w:rsid w:val="00CC0B45"/>
    <w:rsid w:val="00CC0C62"/>
    <w:rsid w:val="00CC141D"/>
    <w:rsid w:val="00CC149E"/>
    <w:rsid w:val="00CC14B4"/>
    <w:rsid w:val="00CC17D2"/>
    <w:rsid w:val="00CC194E"/>
    <w:rsid w:val="00CC1A8C"/>
    <w:rsid w:val="00CC1AE8"/>
    <w:rsid w:val="00CC1D05"/>
    <w:rsid w:val="00CC1F08"/>
    <w:rsid w:val="00CC1F6C"/>
    <w:rsid w:val="00CC20E4"/>
    <w:rsid w:val="00CC2257"/>
    <w:rsid w:val="00CC26D4"/>
    <w:rsid w:val="00CC2787"/>
    <w:rsid w:val="00CC2EC9"/>
    <w:rsid w:val="00CC329A"/>
    <w:rsid w:val="00CC33FD"/>
    <w:rsid w:val="00CC361D"/>
    <w:rsid w:val="00CC37A8"/>
    <w:rsid w:val="00CC3876"/>
    <w:rsid w:val="00CC3B38"/>
    <w:rsid w:val="00CC3EE8"/>
    <w:rsid w:val="00CC4007"/>
    <w:rsid w:val="00CC4295"/>
    <w:rsid w:val="00CC44DB"/>
    <w:rsid w:val="00CC4803"/>
    <w:rsid w:val="00CC4963"/>
    <w:rsid w:val="00CC4A0F"/>
    <w:rsid w:val="00CC5138"/>
    <w:rsid w:val="00CC516E"/>
    <w:rsid w:val="00CC51C3"/>
    <w:rsid w:val="00CC522D"/>
    <w:rsid w:val="00CC5246"/>
    <w:rsid w:val="00CC52E5"/>
    <w:rsid w:val="00CC52EC"/>
    <w:rsid w:val="00CC5A1D"/>
    <w:rsid w:val="00CC5A92"/>
    <w:rsid w:val="00CC5B8E"/>
    <w:rsid w:val="00CC61A1"/>
    <w:rsid w:val="00CC65F0"/>
    <w:rsid w:val="00CC67B2"/>
    <w:rsid w:val="00CC68C0"/>
    <w:rsid w:val="00CC6C17"/>
    <w:rsid w:val="00CC6C21"/>
    <w:rsid w:val="00CC6D1E"/>
    <w:rsid w:val="00CC7357"/>
    <w:rsid w:val="00CC73D6"/>
    <w:rsid w:val="00CC7ABA"/>
    <w:rsid w:val="00CC7BEC"/>
    <w:rsid w:val="00CC7F5C"/>
    <w:rsid w:val="00CD0214"/>
    <w:rsid w:val="00CD0A42"/>
    <w:rsid w:val="00CD0B8B"/>
    <w:rsid w:val="00CD0BCC"/>
    <w:rsid w:val="00CD112F"/>
    <w:rsid w:val="00CD1888"/>
    <w:rsid w:val="00CD1AC9"/>
    <w:rsid w:val="00CD20FC"/>
    <w:rsid w:val="00CD2588"/>
    <w:rsid w:val="00CD2774"/>
    <w:rsid w:val="00CD2C66"/>
    <w:rsid w:val="00CD30F8"/>
    <w:rsid w:val="00CD3671"/>
    <w:rsid w:val="00CD36AE"/>
    <w:rsid w:val="00CD3742"/>
    <w:rsid w:val="00CD3983"/>
    <w:rsid w:val="00CD39BC"/>
    <w:rsid w:val="00CD418B"/>
    <w:rsid w:val="00CD433F"/>
    <w:rsid w:val="00CD4486"/>
    <w:rsid w:val="00CD47E2"/>
    <w:rsid w:val="00CD50CF"/>
    <w:rsid w:val="00CD51EB"/>
    <w:rsid w:val="00CD522B"/>
    <w:rsid w:val="00CD5589"/>
    <w:rsid w:val="00CD5AF2"/>
    <w:rsid w:val="00CD6062"/>
    <w:rsid w:val="00CD60AD"/>
    <w:rsid w:val="00CD62CC"/>
    <w:rsid w:val="00CD62D8"/>
    <w:rsid w:val="00CD62FD"/>
    <w:rsid w:val="00CD6392"/>
    <w:rsid w:val="00CD6430"/>
    <w:rsid w:val="00CD64C7"/>
    <w:rsid w:val="00CD6811"/>
    <w:rsid w:val="00CD691E"/>
    <w:rsid w:val="00CD6E64"/>
    <w:rsid w:val="00CD6EBA"/>
    <w:rsid w:val="00CD7500"/>
    <w:rsid w:val="00CD79A7"/>
    <w:rsid w:val="00CD7AE0"/>
    <w:rsid w:val="00CD7D05"/>
    <w:rsid w:val="00CE0242"/>
    <w:rsid w:val="00CE03AF"/>
    <w:rsid w:val="00CE0727"/>
    <w:rsid w:val="00CE0AB0"/>
    <w:rsid w:val="00CE1202"/>
    <w:rsid w:val="00CE13EF"/>
    <w:rsid w:val="00CE1783"/>
    <w:rsid w:val="00CE1798"/>
    <w:rsid w:val="00CE2513"/>
    <w:rsid w:val="00CE2838"/>
    <w:rsid w:val="00CE2D32"/>
    <w:rsid w:val="00CE2DDF"/>
    <w:rsid w:val="00CE2EFF"/>
    <w:rsid w:val="00CE301E"/>
    <w:rsid w:val="00CE332B"/>
    <w:rsid w:val="00CE33FB"/>
    <w:rsid w:val="00CE34E7"/>
    <w:rsid w:val="00CE352B"/>
    <w:rsid w:val="00CE3548"/>
    <w:rsid w:val="00CE36F2"/>
    <w:rsid w:val="00CE3D4F"/>
    <w:rsid w:val="00CE4073"/>
    <w:rsid w:val="00CE410B"/>
    <w:rsid w:val="00CE41D3"/>
    <w:rsid w:val="00CE43F3"/>
    <w:rsid w:val="00CE453C"/>
    <w:rsid w:val="00CE4FA1"/>
    <w:rsid w:val="00CE5037"/>
    <w:rsid w:val="00CE516E"/>
    <w:rsid w:val="00CE552E"/>
    <w:rsid w:val="00CE56A7"/>
    <w:rsid w:val="00CE56B2"/>
    <w:rsid w:val="00CE5810"/>
    <w:rsid w:val="00CE5C6F"/>
    <w:rsid w:val="00CE5F94"/>
    <w:rsid w:val="00CE631B"/>
    <w:rsid w:val="00CE63FC"/>
    <w:rsid w:val="00CE642E"/>
    <w:rsid w:val="00CE65D2"/>
    <w:rsid w:val="00CE668C"/>
    <w:rsid w:val="00CE67FA"/>
    <w:rsid w:val="00CE6E25"/>
    <w:rsid w:val="00CE6E6D"/>
    <w:rsid w:val="00CE720F"/>
    <w:rsid w:val="00CE7219"/>
    <w:rsid w:val="00CE7660"/>
    <w:rsid w:val="00CE7B44"/>
    <w:rsid w:val="00CE7C27"/>
    <w:rsid w:val="00CE7C39"/>
    <w:rsid w:val="00CE7E7F"/>
    <w:rsid w:val="00CF0294"/>
    <w:rsid w:val="00CF087A"/>
    <w:rsid w:val="00CF0A75"/>
    <w:rsid w:val="00CF0AF3"/>
    <w:rsid w:val="00CF0E91"/>
    <w:rsid w:val="00CF0ED4"/>
    <w:rsid w:val="00CF0F7C"/>
    <w:rsid w:val="00CF11AF"/>
    <w:rsid w:val="00CF11B2"/>
    <w:rsid w:val="00CF17BE"/>
    <w:rsid w:val="00CF1A9F"/>
    <w:rsid w:val="00CF1EBC"/>
    <w:rsid w:val="00CF2084"/>
    <w:rsid w:val="00CF2193"/>
    <w:rsid w:val="00CF222E"/>
    <w:rsid w:val="00CF2362"/>
    <w:rsid w:val="00CF2507"/>
    <w:rsid w:val="00CF26E5"/>
    <w:rsid w:val="00CF2A3A"/>
    <w:rsid w:val="00CF2C0C"/>
    <w:rsid w:val="00CF2C37"/>
    <w:rsid w:val="00CF2CDC"/>
    <w:rsid w:val="00CF2DD8"/>
    <w:rsid w:val="00CF2FCB"/>
    <w:rsid w:val="00CF3060"/>
    <w:rsid w:val="00CF34DF"/>
    <w:rsid w:val="00CF3899"/>
    <w:rsid w:val="00CF3916"/>
    <w:rsid w:val="00CF39EB"/>
    <w:rsid w:val="00CF3A34"/>
    <w:rsid w:val="00CF3B74"/>
    <w:rsid w:val="00CF3CF6"/>
    <w:rsid w:val="00CF3D40"/>
    <w:rsid w:val="00CF4C43"/>
    <w:rsid w:val="00CF51B3"/>
    <w:rsid w:val="00CF53E3"/>
    <w:rsid w:val="00CF556C"/>
    <w:rsid w:val="00CF5589"/>
    <w:rsid w:val="00CF56D2"/>
    <w:rsid w:val="00CF5946"/>
    <w:rsid w:val="00CF5BDD"/>
    <w:rsid w:val="00CF5C10"/>
    <w:rsid w:val="00CF5CA6"/>
    <w:rsid w:val="00CF6324"/>
    <w:rsid w:val="00CF6662"/>
    <w:rsid w:val="00CF68A9"/>
    <w:rsid w:val="00CF68CE"/>
    <w:rsid w:val="00CF69CB"/>
    <w:rsid w:val="00CF6B43"/>
    <w:rsid w:val="00CF7AFB"/>
    <w:rsid w:val="00CF7B67"/>
    <w:rsid w:val="00CF7E87"/>
    <w:rsid w:val="00D0007F"/>
    <w:rsid w:val="00D00137"/>
    <w:rsid w:val="00D001DB"/>
    <w:rsid w:val="00D00284"/>
    <w:rsid w:val="00D00978"/>
    <w:rsid w:val="00D00999"/>
    <w:rsid w:val="00D00AB1"/>
    <w:rsid w:val="00D01029"/>
    <w:rsid w:val="00D010A4"/>
    <w:rsid w:val="00D012E8"/>
    <w:rsid w:val="00D012F0"/>
    <w:rsid w:val="00D01318"/>
    <w:rsid w:val="00D01333"/>
    <w:rsid w:val="00D015AD"/>
    <w:rsid w:val="00D017B1"/>
    <w:rsid w:val="00D0186E"/>
    <w:rsid w:val="00D01A9F"/>
    <w:rsid w:val="00D01AF3"/>
    <w:rsid w:val="00D01BCD"/>
    <w:rsid w:val="00D01E3D"/>
    <w:rsid w:val="00D025F9"/>
    <w:rsid w:val="00D026FE"/>
    <w:rsid w:val="00D02A8D"/>
    <w:rsid w:val="00D03B41"/>
    <w:rsid w:val="00D03C13"/>
    <w:rsid w:val="00D03EF8"/>
    <w:rsid w:val="00D04434"/>
    <w:rsid w:val="00D044EC"/>
    <w:rsid w:val="00D0454C"/>
    <w:rsid w:val="00D049C8"/>
    <w:rsid w:val="00D04C80"/>
    <w:rsid w:val="00D04FC5"/>
    <w:rsid w:val="00D058FE"/>
    <w:rsid w:val="00D06097"/>
    <w:rsid w:val="00D06194"/>
    <w:rsid w:val="00D06611"/>
    <w:rsid w:val="00D06C1B"/>
    <w:rsid w:val="00D06D22"/>
    <w:rsid w:val="00D06F8D"/>
    <w:rsid w:val="00D070D0"/>
    <w:rsid w:val="00D0745D"/>
    <w:rsid w:val="00D07605"/>
    <w:rsid w:val="00D07A44"/>
    <w:rsid w:val="00D07B38"/>
    <w:rsid w:val="00D07F12"/>
    <w:rsid w:val="00D10052"/>
    <w:rsid w:val="00D10792"/>
    <w:rsid w:val="00D10F9C"/>
    <w:rsid w:val="00D111ED"/>
    <w:rsid w:val="00D1170B"/>
    <w:rsid w:val="00D11A6A"/>
    <w:rsid w:val="00D11FA5"/>
    <w:rsid w:val="00D12338"/>
    <w:rsid w:val="00D123E7"/>
    <w:rsid w:val="00D124E0"/>
    <w:rsid w:val="00D126D9"/>
    <w:rsid w:val="00D12AD2"/>
    <w:rsid w:val="00D12ADA"/>
    <w:rsid w:val="00D12B9F"/>
    <w:rsid w:val="00D12DF7"/>
    <w:rsid w:val="00D12FDC"/>
    <w:rsid w:val="00D1303C"/>
    <w:rsid w:val="00D132C7"/>
    <w:rsid w:val="00D139B6"/>
    <w:rsid w:val="00D13AEC"/>
    <w:rsid w:val="00D13CAB"/>
    <w:rsid w:val="00D13DA8"/>
    <w:rsid w:val="00D141C4"/>
    <w:rsid w:val="00D1447C"/>
    <w:rsid w:val="00D1465E"/>
    <w:rsid w:val="00D14685"/>
    <w:rsid w:val="00D146CF"/>
    <w:rsid w:val="00D14AA8"/>
    <w:rsid w:val="00D14CEC"/>
    <w:rsid w:val="00D151F0"/>
    <w:rsid w:val="00D153AF"/>
    <w:rsid w:val="00D1549B"/>
    <w:rsid w:val="00D154E1"/>
    <w:rsid w:val="00D155DB"/>
    <w:rsid w:val="00D15802"/>
    <w:rsid w:val="00D15913"/>
    <w:rsid w:val="00D1591E"/>
    <w:rsid w:val="00D15D83"/>
    <w:rsid w:val="00D1608E"/>
    <w:rsid w:val="00D16309"/>
    <w:rsid w:val="00D163A5"/>
    <w:rsid w:val="00D16860"/>
    <w:rsid w:val="00D16F05"/>
    <w:rsid w:val="00D17018"/>
    <w:rsid w:val="00D170C1"/>
    <w:rsid w:val="00D1788B"/>
    <w:rsid w:val="00D179F4"/>
    <w:rsid w:val="00D17A20"/>
    <w:rsid w:val="00D17AC2"/>
    <w:rsid w:val="00D17BB4"/>
    <w:rsid w:val="00D17DD8"/>
    <w:rsid w:val="00D17F4F"/>
    <w:rsid w:val="00D20496"/>
    <w:rsid w:val="00D20757"/>
    <w:rsid w:val="00D20AC7"/>
    <w:rsid w:val="00D20CA0"/>
    <w:rsid w:val="00D20D60"/>
    <w:rsid w:val="00D217D0"/>
    <w:rsid w:val="00D2208E"/>
    <w:rsid w:val="00D22320"/>
    <w:rsid w:val="00D223D5"/>
    <w:rsid w:val="00D225F6"/>
    <w:rsid w:val="00D2266C"/>
    <w:rsid w:val="00D22ACF"/>
    <w:rsid w:val="00D22C61"/>
    <w:rsid w:val="00D22D92"/>
    <w:rsid w:val="00D23A78"/>
    <w:rsid w:val="00D23D37"/>
    <w:rsid w:val="00D23E82"/>
    <w:rsid w:val="00D23FF9"/>
    <w:rsid w:val="00D244BB"/>
    <w:rsid w:val="00D2453D"/>
    <w:rsid w:val="00D2468A"/>
    <w:rsid w:val="00D24745"/>
    <w:rsid w:val="00D2491A"/>
    <w:rsid w:val="00D24AE0"/>
    <w:rsid w:val="00D24C47"/>
    <w:rsid w:val="00D24C6A"/>
    <w:rsid w:val="00D24D31"/>
    <w:rsid w:val="00D24E1E"/>
    <w:rsid w:val="00D25113"/>
    <w:rsid w:val="00D2542D"/>
    <w:rsid w:val="00D25790"/>
    <w:rsid w:val="00D25AA6"/>
    <w:rsid w:val="00D25ABF"/>
    <w:rsid w:val="00D26242"/>
    <w:rsid w:val="00D2625C"/>
    <w:rsid w:val="00D26386"/>
    <w:rsid w:val="00D268D3"/>
    <w:rsid w:val="00D26A12"/>
    <w:rsid w:val="00D26AA8"/>
    <w:rsid w:val="00D26BC0"/>
    <w:rsid w:val="00D26C10"/>
    <w:rsid w:val="00D2711C"/>
    <w:rsid w:val="00D27A33"/>
    <w:rsid w:val="00D27B07"/>
    <w:rsid w:val="00D27CED"/>
    <w:rsid w:val="00D27D09"/>
    <w:rsid w:val="00D27E15"/>
    <w:rsid w:val="00D306DB"/>
    <w:rsid w:val="00D30ED2"/>
    <w:rsid w:val="00D30F52"/>
    <w:rsid w:val="00D30F53"/>
    <w:rsid w:val="00D30FA6"/>
    <w:rsid w:val="00D313C2"/>
    <w:rsid w:val="00D3143E"/>
    <w:rsid w:val="00D31667"/>
    <w:rsid w:val="00D319A3"/>
    <w:rsid w:val="00D31B9A"/>
    <w:rsid w:val="00D32071"/>
    <w:rsid w:val="00D3215F"/>
    <w:rsid w:val="00D3227F"/>
    <w:rsid w:val="00D32327"/>
    <w:rsid w:val="00D329CF"/>
    <w:rsid w:val="00D32CA1"/>
    <w:rsid w:val="00D32D1F"/>
    <w:rsid w:val="00D3309F"/>
    <w:rsid w:val="00D33181"/>
    <w:rsid w:val="00D3319F"/>
    <w:rsid w:val="00D331CC"/>
    <w:rsid w:val="00D335A3"/>
    <w:rsid w:val="00D336A9"/>
    <w:rsid w:val="00D337D6"/>
    <w:rsid w:val="00D338B1"/>
    <w:rsid w:val="00D33940"/>
    <w:rsid w:val="00D33A6B"/>
    <w:rsid w:val="00D33C13"/>
    <w:rsid w:val="00D33C80"/>
    <w:rsid w:val="00D33E29"/>
    <w:rsid w:val="00D347AA"/>
    <w:rsid w:val="00D347AC"/>
    <w:rsid w:val="00D34A27"/>
    <w:rsid w:val="00D34B39"/>
    <w:rsid w:val="00D34F3F"/>
    <w:rsid w:val="00D3548D"/>
    <w:rsid w:val="00D35601"/>
    <w:rsid w:val="00D3595C"/>
    <w:rsid w:val="00D35BE6"/>
    <w:rsid w:val="00D36955"/>
    <w:rsid w:val="00D36E80"/>
    <w:rsid w:val="00D36EF6"/>
    <w:rsid w:val="00D371BA"/>
    <w:rsid w:val="00D3723A"/>
    <w:rsid w:val="00D37288"/>
    <w:rsid w:val="00D37340"/>
    <w:rsid w:val="00D3745C"/>
    <w:rsid w:val="00D37E41"/>
    <w:rsid w:val="00D402EA"/>
    <w:rsid w:val="00D4064F"/>
    <w:rsid w:val="00D408A5"/>
    <w:rsid w:val="00D40A4A"/>
    <w:rsid w:val="00D40C1E"/>
    <w:rsid w:val="00D41150"/>
    <w:rsid w:val="00D41296"/>
    <w:rsid w:val="00D41547"/>
    <w:rsid w:val="00D41848"/>
    <w:rsid w:val="00D41C01"/>
    <w:rsid w:val="00D41C1F"/>
    <w:rsid w:val="00D42366"/>
    <w:rsid w:val="00D42450"/>
    <w:rsid w:val="00D426A8"/>
    <w:rsid w:val="00D42835"/>
    <w:rsid w:val="00D42A87"/>
    <w:rsid w:val="00D42BAD"/>
    <w:rsid w:val="00D42CDF"/>
    <w:rsid w:val="00D4317C"/>
    <w:rsid w:val="00D43230"/>
    <w:rsid w:val="00D4335E"/>
    <w:rsid w:val="00D438BA"/>
    <w:rsid w:val="00D44109"/>
    <w:rsid w:val="00D444A7"/>
    <w:rsid w:val="00D44531"/>
    <w:rsid w:val="00D445EC"/>
    <w:rsid w:val="00D44A67"/>
    <w:rsid w:val="00D44A86"/>
    <w:rsid w:val="00D44DFB"/>
    <w:rsid w:val="00D44F8A"/>
    <w:rsid w:val="00D459CF"/>
    <w:rsid w:val="00D45B5A"/>
    <w:rsid w:val="00D45C7E"/>
    <w:rsid w:val="00D45D91"/>
    <w:rsid w:val="00D45EB7"/>
    <w:rsid w:val="00D45ED5"/>
    <w:rsid w:val="00D4603F"/>
    <w:rsid w:val="00D46423"/>
    <w:rsid w:val="00D4660A"/>
    <w:rsid w:val="00D466E0"/>
    <w:rsid w:val="00D4687F"/>
    <w:rsid w:val="00D46941"/>
    <w:rsid w:val="00D46A73"/>
    <w:rsid w:val="00D46EE5"/>
    <w:rsid w:val="00D4703A"/>
    <w:rsid w:val="00D47075"/>
    <w:rsid w:val="00D47707"/>
    <w:rsid w:val="00D47779"/>
    <w:rsid w:val="00D47B06"/>
    <w:rsid w:val="00D5005A"/>
    <w:rsid w:val="00D500F5"/>
    <w:rsid w:val="00D503CD"/>
    <w:rsid w:val="00D50B0B"/>
    <w:rsid w:val="00D50C31"/>
    <w:rsid w:val="00D50D20"/>
    <w:rsid w:val="00D50ED1"/>
    <w:rsid w:val="00D51100"/>
    <w:rsid w:val="00D5144E"/>
    <w:rsid w:val="00D51678"/>
    <w:rsid w:val="00D5190E"/>
    <w:rsid w:val="00D51FC1"/>
    <w:rsid w:val="00D52FB1"/>
    <w:rsid w:val="00D53142"/>
    <w:rsid w:val="00D531DF"/>
    <w:rsid w:val="00D5339C"/>
    <w:rsid w:val="00D534D4"/>
    <w:rsid w:val="00D535CC"/>
    <w:rsid w:val="00D535D1"/>
    <w:rsid w:val="00D53606"/>
    <w:rsid w:val="00D53CE2"/>
    <w:rsid w:val="00D53D06"/>
    <w:rsid w:val="00D54767"/>
    <w:rsid w:val="00D54B18"/>
    <w:rsid w:val="00D54B21"/>
    <w:rsid w:val="00D54C37"/>
    <w:rsid w:val="00D550F9"/>
    <w:rsid w:val="00D555C8"/>
    <w:rsid w:val="00D55743"/>
    <w:rsid w:val="00D557DF"/>
    <w:rsid w:val="00D55887"/>
    <w:rsid w:val="00D559B8"/>
    <w:rsid w:val="00D55CE4"/>
    <w:rsid w:val="00D55D02"/>
    <w:rsid w:val="00D55E34"/>
    <w:rsid w:val="00D55E9F"/>
    <w:rsid w:val="00D56111"/>
    <w:rsid w:val="00D561C8"/>
    <w:rsid w:val="00D56603"/>
    <w:rsid w:val="00D566FB"/>
    <w:rsid w:val="00D5685B"/>
    <w:rsid w:val="00D5696C"/>
    <w:rsid w:val="00D56E81"/>
    <w:rsid w:val="00D570D1"/>
    <w:rsid w:val="00D571F5"/>
    <w:rsid w:val="00D57228"/>
    <w:rsid w:val="00D574B8"/>
    <w:rsid w:val="00D576CA"/>
    <w:rsid w:val="00D578B5"/>
    <w:rsid w:val="00D57DD6"/>
    <w:rsid w:val="00D57EB4"/>
    <w:rsid w:val="00D57FC9"/>
    <w:rsid w:val="00D60021"/>
    <w:rsid w:val="00D6002B"/>
    <w:rsid w:val="00D60195"/>
    <w:rsid w:val="00D6047F"/>
    <w:rsid w:val="00D607FE"/>
    <w:rsid w:val="00D60B62"/>
    <w:rsid w:val="00D60DD2"/>
    <w:rsid w:val="00D61354"/>
    <w:rsid w:val="00D6154F"/>
    <w:rsid w:val="00D615AD"/>
    <w:rsid w:val="00D615BD"/>
    <w:rsid w:val="00D615FB"/>
    <w:rsid w:val="00D619BA"/>
    <w:rsid w:val="00D61C25"/>
    <w:rsid w:val="00D629FF"/>
    <w:rsid w:val="00D62A94"/>
    <w:rsid w:val="00D62AC4"/>
    <w:rsid w:val="00D62CCF"/>
    <w:rsid w:val="00D6316D"/>
    <w:rsid w:val="00D6340C"/>
    <w:rsid w:val="00D63726"/>
    <w:rsid w:val="00D639F2"/>
    <w:rsid w:val="00D63B02"/>
    <w:rsid w:val="00D63C99"/>
    <w:rsid w:val="00D64044"/>
    <w:rsid w:val="00D642E3"/>
    <w:rsid w:val="00D646AD"/>
    <w:rsid w:val="00D64715"/>
    <w:rsid w:val="00D64985"/>
    <w:rsid w:val="00D65026"/>
    <w:rsid w:val="00D65301"/>
    <w:rsid w:val="00D65336"/>
    <w:rsid w:val="00D6564A"/>
    <w:rsid w:val="00D65813"/>
    <w:rsid w:val="00D65D06"/>
    <w:rsid w:val="00D65EB1"/>
    <w:rsid w:val="00D65FF2"/>
    <w:rsid w:val="00D662EF"/>
    <w:rsid w:val="00D663B1"/>
    <w:rsid w:val="00D66471"/>
    <w:rsid w:val="00D66733"/>
    <w:rsid w:val="00D6698E"/>
    <w:rsid w:val="00D66A69"/>
    <w:rsid w:val="00D66A9B"/>
    <w:rsid w:val="00D6720F"/>
    <w:rsid w:val="00D672E1"/>
    <w:rsid w:val="00D6759C"/>
    <w:rsid w:val="00D67804"/>
    <w:rsid w:val="00D679ED"/>
    <w:rsid w:val="00D67E28"/>
    <w:rsid w:val="00D67F9F"/>
    <w:rsid w:val="00D67FD9"/>
    <w:rsid w:val="00D70181"/>
    <w:rsid w:val="00D7023E"/>
    <w:rsid w:val="00D7023F"/>
    <w:rsid w:val="00D70BE4"/>
    <w:rsid w:val="00D70D91"/>
    <w:rsid w:val="00D7107F"/>
    <w:rsid w:val="00D710CE"/>
    <w:rsid w:val="00D7143B"/>
    <w:rsid w:val="00D714EB"/>
    <w:rsid w:val="00D71556"/>
    <w:rsid w:val="00D715F4"/>
    <w:rsid w:val="00D71610"/>
    <w:rsid w:val="00D71A2F"/>
    <w:rsid w:val="00D71BB6"/>
    <w:rsid w:val="00D72517"/>
    <w:rsid w:val="00D72D12"/>
    <w:rsid w:val="00D72E52"/>
    <w:rsid w:val="00D72ECB"/>
    <w:rsid w:val="00D7308E"/>
    <w:rsid w:val="00D73107"/>
    <w:rsid w:val="00D7331C"/>
    <w:rsid w:val="00D73558"/>
    <w:rsid w:val="00D73561"/>
    <w:rsid w:val="00D737E9"/>
    <w:rsid w:val="00D7391E"/>
    <w:rsid w:val="00D73976"/>
    <w:rsid w:val="00D74019"/>
    <w:rsid w:val="00D74093"/>
    <w:rsid w:val="00D74AE0"/>
    <w:rsid w:val="00D74C9D"/>
    <w:rsid w:val="00D74D2A"/>
    <w:rsid w:val="00D74F67"/>
    <w:rsid w:val="00D7536C"/>
    <w:rsid w:val="00D75478"/>
    <w:rsid w:val="00D75A77"/>
    <w:rsid w:val="00D760D7"/>
    <w:rsid w:val="00D763CD"/>
    <w:rsid w:val="00D765C7"/>
    <w:rsid w:val="00D7691A"/>
    <w:rsid w:val="00D76E1A"/>
    <w:rsid w:val="00D771E6"/>
    <w:rsid w:val="00D77258"/>
    <w:rsid w:val="00D77B7C"/>
    <w:rsid w:val="00D77CD2"/>
    <w:rsid w:val="00D80010"/>
    <w:rsid w:val="00D80013"/>
    <w:rsid w:val="00D80129"/>
    <w:rsid w:val="00D801B9"/>
    <w:rsid w:val="00D8084B"/>
    <w:rsid w:val="00D808B0"/>
    <w:rsid w:val="00D80D47"/>
    <w:rsid w:val="00D8151A"/>
    <w:rsid w:val="00D81681"/>
    <w:rsid w:val="00D819BD"/>
    <w:rsid w:val="00D81FF1"/>
    <w:rsid w:val="00D82182"/>
    <w:rsid w:val="00D8221E"/>
    <w:rsid w:val="00D824F0"/>
    <w:rsid w:val="00D829FC"/>
    <w:rsid w:val="00D82AE3"/>
    <w:rsid w:val="00D830CF"/>
    <w:rsid w:val="00D8322C"/>
    <w:rsid w:val="00D8375B"/>
    <w:rsid w:val="00D8382C"/>
    <w:rsid w:val="00D83906"/>
    <w:rsid w:val="00D83B0A"/>
    <w:rsid w:val="00D8442D"/>
    <w:rsid w:val="00D84598"/>
    <w:rsid w:val="00D846A1"/>
    <w:rsid w:val="00D8497D"/>
    <w:rsid w:val="00D849F0"/>
    <w:rsid w:val="00D84B6B"/>
    <w:rsid w:val="00D84E41"/>
    <w:rsid w:val="00D84E4B"/>
    <w:rsid w:val="00D85098"/>
    <w:rsid w:val="00D85756"/>
    <w:rsid w:val="00D85995"/>
    <w:rsid w:val="00D85B87"/>
    <w:rsid w:val="00D85C8F"/>
    <w:rsid w:val="00D85FA9"/>
    <w:rsid w:val="00D864D1"/>
    <w:rsid w:val="00D86666"/>
    <w:rsid w:val="00D869A6"/>
    <w:rsid w:val="00D869C7"/>
    <w:rsid w:val="00D869F2"/>
    <w:rsid w:val="00D86A30"/>
    <w:rsid w:val="00D86AC2"/>
    <w:rsid w:val="00D86C14"/>
    <w:rsid w:val="00D86E3D"/>
    <w:rsid w:val="00D871F7"/>
    <w:rsid w:val="00D872FF"/>
    <w:rsid w:val="00D87317"/>
    <w:rsid w:val="00D875E8"/>
    <w:rsid w:val="00D877BE"/>
    <w:rsid w:val="00D87958"/>
    <w:rsid w:val="00D87B79"/>
    <w:rsid w:val="00D901CE"/>
    <w:rsid w:val="00D90225"/>
    <w:rsid w:val="00D903D9"/>
    <w:rsid w:val="00D90591"/>
    <w:rsid w:val="00D90B3B"/>
    <w:rsid w:val="00D90B4E"/>
    <w:rsid w:val="00D90C78"/>
    <w:rsid w:val="00D90DFB"/>
    <w:rsid w:val="00D90EBA"/>
    <w:rsid w:val="00D9126E"/>
    <w:rsid w:val="00D915E7"/>
    <w:rsid w:val="00D91710"/>
    <w:rsid w:val="00D91A4F"/>
    <w:rsid w:val="00D91AB0"/>
    <w:rsid w:val="00D91BC6"/>
    <w:rsid w:val="00D91C85"/>
    <w:rsid w:val="00D91CD7"/>
    <w:rsid w:val="00D91DFE"/>
    <w:rsid w:val="00D92000"/>
    <w:rsid w:val="00D9234E"/>
    <w:rsid w:val="00D9255F"/>
    <w:rsid w:val="00D92785"/>
    <w:rsid w:val="00D92A0A"/>
    <w:rsid w:val="00D92B75"/>
    <w:rsid w:val="00D92FA7"/>
    <w:rsid w:val="00D92FE6"/>
    <w:rsid w:val="00D934C4"/>
    <w:rsid w:val="00D9352C"/>
    <w:rsid w:val="00D93694"/>
    <w:rsid w:val="00D93804"/>
    <w:rsid w:val="00D94615"/>
    <w:rsid w:val="00D94F4D"/>
    <w:rsid w:val="00D95266"/>
    <w:rsid w:val="00D953B3"/>
    <w:rsid w:val="00D95547"/>
    <w:rsid w:val="00D956AB"/>
    <w:rsid w:val="00D959E5"/>
    <w:rsid w:val="00D95A8D"/>
    <w:rsid w:val="00D95E4C"/>
    <w:rsid w:val="00D95FFC"/>
    <w:rsid w:val="00D96265"/>
    <w:rsid w:val="00D9670F"/>
    <w:rsid w:val="00D9679C"/>
    <w:rsid w:val="00D9681F"/>
    <w:rsid w:val="00D9685A"/>
    <w:rsid w:val="00D96A14"/>
    <w:rsid w:val="00D96AF3"/>
    <w:rsid w:val="00D96B1D"/>
    <w:rsid w:val="00D96FBE"/>
    <w:rsid w:val="00D971D9"/>
    <w:rsid w:val="00D97323"/>
    <w:rsid w:val="00D9737C"/>
    <w:rsid w:val="00D9751E"/>
    <w:rsid w:val="00D976EF"/>
    <w:rsid w:val="00D976F3"/>
    <w:rsid w:val="00D9777B"/>
    <w:rsid w:val="00D9789F"/>
    <w:rsid w:val="00D97E23"/>
    <w:rsid w:val="00DA00DC"/>
    <w:rsid w:val="00DA0251"/>
    <w:rsid w:val="00DA03AC"/>
    <w:rsid w:val="00DA0B02"/>
    <w:rsid w:val="00DA0BC3"/>
    <w:rsid w:val="00DA0F63"/>
    <w:rsid w:val="00DA11A9"/>
    <w:rsid w:val="00DA14FA"/>
    <w:rsid w:val="00DA1D2A"/>
    <w:rsid w:val="00DA1D53"/>
    <w:rsid w:val="00DA1F73"/>
    <w:rsid w:val="00DA2143"/>
    <w:rsid w:val="00DA2363"/>
    <w:rsid w:val="00DA23A1"/>
    <w:rsid w:val="00DA23ED"/>
    <w:rsid w:val="00DA270D"/>
    <w:rsid w:val="00DA2765"/>
    <w:rsid w:val="00DA2814"/>
    <w:rsid w:val="00DA2873"/>
    <w:rsid w:val="00DA2AAE"/>
    <w:rsid w:val="00DA2B59"/>
    <w:rsid w:val="00DA2DC0"/>
    <w:rsid w:val="00DA313A"/>
    <w:rsid w:val="00DA3235"/>
    <w:rsid w:val="00DA37D5"/>
    <w:rsid w:val="00DA3821"/>
    <w:rsid w:val="00DA3902"/>
    <w:rsid w:val="00DA3AF9"/>
    <w:rsid w:val="00DA3BE0"/>
    <w:rsid w:val="00DA3D55"/>
    <w:rsid w:val="00DA3EB0"/>
    <w:rsid w:val="00DA438B"/>
    <w:rsid w:val="00DA4A05"/>
    <w:rsid w:val="00DA4B8F"/>
    <w:rsid w:val="00DA4BA4"/>
    <w:rsid w:val="00DA4DDD"/>
    <w:rsid w:val="00DA50C3"/>
    <w:rsid w:val="00DA50F8"/>
    <w:rsid w:val="00DA5591"/>
    <w:rsid w:val="00DA5C09"/>
    <w:rsid w:val="00DA5CA1"/>
    <w:rsid w:val="00DA5D03"/>
    <w:rsid w:val="00DA5D05"/>
    <w:rsid w:val="00DA6040"/>
    <w:rsid w:val="00DA6204"/>
    <w:rsid w:val="00DA623F"/>
    <w:rsid w:val="00DA6325"/>
    <w:rsid w:val="00DA69BB"/>
    <w:rsid w:val="00DA6DDD"/>
    <w:rsid w:val="00DA6DFF"/>
    <w:rsid w:val="00DA6F46"/>
    <w:rsid w:val="00DA729E"/>
    <w:rsid w:val="00DA72BB"/>
    <w:rsid w:val="00DA752C"/>
    <w:rsid w:val="00DA77A3"/>
    <w:rsid w:val="00DA77E6"/>
    <w:rsid w:val="00DB0692"/>
    <w:rsid w:val="00DB0BD6"/>
    <w:rsid w:val="00DB0E94"/>
    <w:rsid w:val="00DB0EF7"/>
    <w:rsid w:val="00DB0FB0"/>
    <w:rsid w:val="00DB1037"/>
    <w:rsid w:val="00DB144B"/>
    <w:rsid w:val="00DB14A6"/>
    <w:rsid w:val="00DB1A2A"/>
    <w:rsid w:val="00DB1EF9"/>
    <w:rsid w:val="00DB1F8A"/>
    <w:rsid w:val="00DB28C7"/>
    <w:rsid w:val="00DB294A"/>
    <w:rsid w:val="00DB2A96"/>
    <w:rsid w:val="00DB2F23"/>
    <w:rsid w:val="00DB30EA"/>
    <w:rsid w:val="00DB3548"/>
    <w:rsid w:val="00DB365F"/>
    <w:rsid w:val="00DB368A"/>
    <w:rsid w:val="00DB385B"/>
    <w:rsid w:val="00DB3864"/>
    <w:rsid w:val="00DB3939"/>
    <w:rsid w:val="00DB3A3B"/>
    <w:rsid w:val="00DB3C12"/>
    <w:rsid w:val="00DB3CB1"/>
    <w:rsid w:val="00DB42F6"/>
    <w:rsid w:val="00DB435F"/>
    <w:rsid w:val="00DB4549"/>
    <w:rsid w:val="00DB4CAE"/>
    <w:rsid w:val="00DB4D52"/>
    <w:rsid w:val="00DB5327"/>
    <w:rsid w:val="00DB56B6"/>
    <w:rsid w:val="00DB5791"/>
    <w:rsid w:val="00DB582B"/>
    <w:rsid w:val="00DB5E18"/>
    <w:rsid w:val="00DB5F36"/>
    <w:rsid w:val="00DB6023"/>
    <w:rsid w:val="00DB6043"/>
    <w:rsid w:val="00DB6327"/>
    <w:rsid w:val="00DB6443"/>
    <w:rsid w:val="00DB6831"/>
    <w:rsid w:val="00DB6DF3"/>
    <w:rsid w:val="00DB6E01"/>
    <w:rsid w:val="00DB7241"/>
    <w:rsid w:val="00DB7549"/>
    <w:rsid w:val="00DB7635"/>
    <w:rsid w:val="00DB7B07"/>
    <w:rsid w:val="00DC001E"/>
    <w:rsid w:val="00DC00CC"/>
    <w:rsid w:val="00DC011F"/>
    <w:rsid w:val="00DC019A"/>
    <w:rsid w:val="00DC023D"/>
    <w:rsid w:val="00DC05A1"/>
    <w:rsid w:val="00DC13FB"/>
    <w:rsid w:val="00DC1502"/>
    <w:rsid w:val="00DC17B4"/>
    <w:rsid w:val="00DC1B0E"/>
    <w:rsid w:val="00DC1B42"/>
    <w:rsid w:val="00DC1BEF"/>
    <w:rsid w:val="00DC1BF0"/>
    <w:rsid w:val="00DC1C30"/>
    <w:rsid w:val="00DC1EAA"/>
    <w:rsid w:val="00DC2169"/>
    <w:rsid w:val="00DC248A"/>
    <w:rsid w:val="00DC2684"/>
    <w:rsid w:val="00DC270B"/>
    <w:rsid w:val="00DC2833"/>
    <w:rsid w:val="00DC28E5"/>
    <w:rsid w:val="00DC2A9E"/>
    <w:rsid w:val="00DC2E5B"/>
    <w:rsid w:val="00DC2E6D"/>
    <w:rsid w:val="00DC2EBB"/>
    <w:rsid w:val="00DC2F53"/>
    <w:rsid w:val="00DC301C"/>
    <w:rsid w:val="00DC308B"/>
    <w:rsid w:val="00DC3331"/>
    <w:rsid w:val="00DC3469"/>
    <w:rsid w:val="00DC37AB"/>
    <w:rsid w:val="00DC37BA"/>
    <w:rsid w:val="00DC3967"/>
    <w:rsid w:val="00DC39D8"/>
    <w:rsid w:val="00DC3E38"/>
    <w:rsid w:val="00DC41AE"/>
    <w:rsid w:val="00DC46F5"/>
    <w:rsid w:val="00DC4780"/>
    <w:rsid w:val="00DC47BB"/>
    <w:rsid w:val="00DC498A"/>
    <w:rsid w:val="00DC49B3"/>
    <w:rsid w:val="00DC49C8"/>
    <w:rsid w:val="00DC4C83"/>
    <w:rsid w:val="00DC515B"/>
    <w:rsid w:val="00DC5181"/>
    <w:rsid w:val="00DC569B"/>
    <w:rsid w:val="00DC56A2"/>
    <w:rsid w:val="00DC5C3B"/>
    <w:rsid w:val="00DC6115"/>
    <w:rsid w:val="00DC614A"/>
    <w:rsid w:val="00DC6216"/>
    <w:rsid w:val="00DC670B"/>
    <w:rsid w:val="00DC6C79"/>
    <w:rsid w:val="00DC6EB1"/>
    <w:rsid w:val="00DC6F16"/>
    <w:rsid w:val="00DC706D"/>
    <w:rsid w:val="00DC70D1"/>
    <w:rsid w:val="00DC7190"/>
    <w:rsid w:val="00DC722F"/>
    <w:rsid w:val="00DC7265"/>
    <w:rsid w:val="00DC746A"/>
    <w:rsid w:val="00DC7886"/>
    <w:rsid w:val="00DC7907"/>
    <w:rsid w:val="00DC7D8B"/>
    <w:rsid w:val="00DD049E"/>
    <w:rsid w:val="00DD04C0"/>
    <w:rsid w:val="00DD06CE"/>
    <w:rsid w:val="00DD101B"/>
    <w:rsid w:val="00DD18DA"/>
    <w:rsid w:val="00DD1B06"/>
    <w:rsid w:val="00DD1DC6"/>
    <w:rsid w:val="00DD2248"/>
    <w:rsid w:val="00DD271D"/>
    <w:rsid w:val="00DD2B8D"/>
    <w:rsid w:val="00DD314D"/>
    <w:rsid w:val="00DD326B"/>
    <w:rsid w:val="00DD32C0"/>
    <w:rsid w:val="00DD33B6"/>
    <w:rsid w:val="00DD34F5"/>
    <w:rsid w:val="00DD359E"/>
    <w:rsid w:val="00DD381F"/>
    <w:rsid w:val="00DD3A9F"/>
    <w:rsid w:val="00DD3AE5"/>
    <w:rsid w:val="00DD3BC6"/>
    <w:rsid w:val="00DD3D40"/>
    <w:rsid w:val="00DD3F74"/>
    <w:rsid w:val="00DD3FEC"/>
    <w:rsid w:val="00DD41D6"/>
    <w:rsid w:val="00DD4558"/>
    <w:rsid w:val="00DD465A"/>
    <w:rsid w:val="00DD489A"/>
    <w:rsid w:val="00DD48AC"/>
    <w:rsid w:val="00DD49AF"/>
    <w:rsid w:val="00DD4EDB"/>
    <w:rsid w:val="00DD5291"/>
    <w:rsid w:val="00DD52A2"/>
    <w:rsid w:val="00DD548C"/>
    <w:rsid w:val="00DD5501"/>
    <w:rsid w:val="00DD56C5"/>
    <w:rsid w:val="00DD570F"/>
    <w:rsid w:val="00DD57AE"/>
    <w:rsid w:val="00DD5C90"/>
    <w:rsid w:val="00DD5D08"/>
    <w:rsid w:val="00DD642A"/>
    <w:rsid w:val="00DD6A81"/>
    <w:rsid w:val="00DD6B90"/>
    <w:rsid w:val="00DD6BBA"/>
    <w:rsid w:val="00DD709E"/>
    <w:rsid w:val="00DD71BB"/>
    <w:rsid w:val="00DD71C4"/>
    <w:rsid w:val="00DD721A"/>
    <w:rsid w:val="00DD74A0"/>
    <w:rsid w:val="00DD74C4"/>
    <w:rsid w:val="00DD75D6"/>
    <w:rsid w:val="00DD7990"/>
    <w:rsid w:val="00DD7A00"/>
    <w:rsid w:val="00DD7AFD"/>
    <w:rsid w:val="00DD7DAB"/>
    <w:rsid w:val="00DD7FC0"/>
    <w:rsid w:val="00DE06EC"/>
    <w:rsid w:val="00DE08BE"/>
    <w:rsid w:val="00DE0C9B"/>
    <w:rsid w:val="00DE0D8D"/>
    <w:rsid w:val="00DE0E97"/>
    <w:rsid w:val="00DE12B3"/>
    <w:rsid w:val="00DE13F4"/>
    <w:rsid w:val="00DE16BB"/>
    <w:rsid w:val="00DE1829"/>
    <w:rsid w:val="00DE18E8"/>
    <w:rsid w:val="00DE1A15"/>
    <w:rsid w:val="00DE1BF5"/>
    <w:rsid w:val="00DE1DF4"/>
    <w:rsid w:val="00DE1EB1"/>
    <w:rsid w:val="00DE2358"/>
    <w:rsid w:val="00DE2626"/>
    <w:rsid w:val="00DE3488"/>
    <w:rsid w:val="00DE36CA"/>
    <w:rsid w:val="00DE3906"/>
    <w:rsid w:val="00DE395B"/>
    <w:rsid w:val="00DE3DF5"/>
    <w:rsid w:val="00DE4247"/>
    <w:rsid w:val="00DE4274"/>
    <w:rsid w:val="00DE4349"/>
    <w:rsid w:val="00DE455B"/>
    <w:rsid w:val="00DE46BD"/>
    <w:rsid w:val="00DE4B62"/>
    <w:rsid w:val="00DE4CB2"/>
    <w:rsid w:val="00DE4FC6"/>
    <w:rsid w:val="00DE4FCD"/>
    <w:rsid w:val="00DE50A6"/>
    <w:rsid w:val="00DE522A"/>
    <w:rsid w:val="00DE5C89"/>
    <w:rsid w:val="00DE5FD5"/>
    <w:rsid w:val="00DE6064"/>
    <w:rsid w:val="00DE6220"/>
    <w:rsid w:val="00DE6452"/>
    <w:rsid w:val="00DE6694"/>
    <w:rsid w:val="00DE66F2"/>
    <w:rsid w:val="00DE6742"/>
    <w:rsid w:val="00DE6A70"/>
    <w:rsid w:val="00DE6BF0"/>
    <w:rsid w:val="00DE6D11"/>
    <w:rsid w:val="00DE71C0"/>
    <w:rsid w:val="00DE74A7"/>
    <w:rsid w:val="00DE76A2"/>
    <w:rsid w:val="00DE7745"/>
    <w:rsid w:val="00DE7B97"/>
    <w:rsid w:val="00DE7BCC"/>
    <w:rsid w:val="00DE7D1D"/>
    <w:rsid w:val="00DE7D83"/>
    <w:rsid w:val="00DE7ED7"/>
    <w:rsid w:val="00DF012E"/>
    <w:rsid w:val="00DF0742"/>
    <w:rsid w:val="00DF0CC5"/>
    <w:rsid w:val="00DF0D86"/>
    <w:rsid w:val="00DF140F"/>
    <w:rsid w:val="00DF1469"/>
    <w:rsid w:val="00DF1614"/>
    <w:rsid w:val="00DF1896"/>
    <w:rsid w:val="00DF2131"/>
    <w:rsid w:val="00DF275F"/>
    <w:rsid w:val="00DF27E5"/>
    <w:rsid w:val="00DF2C5A"/>
    <w:rsid w:val="00DF2CC5"/>
    <w:rsid w:val="00DF2E3C"/>
    <w:rsid w:val="00DF2F54"/>
    <w:rsid w:val="00DF31D7"/>
    <w:rsid w:val="00DF3387"/>
    <w:rsid w:val="00DF3A83"/>
    <w:rsid w:val="00DF3BC6"/>
    <w:rsid w:val="00DF3C9E"/>
    <w:rsid w:val="00DF3D90"/>
    <w:rsid w:val="00DF43AD"/>
    <w:rsid w:val="00DF49EF"/>
    <w:rsid w:val="00DF4BA0"/>
    <w:rsid w:val="00DF4CA2"/>
    <w:rsid w:val="00DF50E1"/>
    <w:rsid w:val="00DF53C9"/>
    <w:rsid w:val="00DF5808"/>
    <w:rsid w:val="00DF586F"/>
    <w:rsid w:val="00DF5D2C"/>
    <w:rsid w:val="00DF5F87"/>
    <w:rsid w:val="00DF62C3"/>
    <w:rsid w:val="00DF6868"/>
    <w:rsid w:val="00DF6C4C"/>
    <w:rsid w:val="00DF6F36"/>
    <w:rsid w:val="00DF6FC4"/>
    <w:rsid w:val="00DF70E1"/>
    <w:rsid w:val="00DF733E"/>
    <w:rsid w:val="00DF73D4"/>
    <w:rsid w:val="00DF74F5"/>
    <w:rsid w:val="00DF76AD"/>
    <w:rsid w:val="00DF7704"/>
    <w:rsid w:val="00DF78ED"/>
    <w:rsid w:val="00DF7F21"/>
    <w:rsid w:val="00E000D8"/>
    <w:rsid w:val="00E00698"/>
    <w:rsid w:val="00E00777"/>
    <w:rsid w:val="00E00913"/>
    <w:rsid w:val="00E00E3A"/>
    <w:rsid w:val="00E00EED"/>
    <w:rsid w:val="00E012B3"/>
    <w:rsid w:val="00E012BA"/>
    <w:rsid w:val="00E01647"/>
    <w:rsid w:val="00E01730"/>
    <w:rsid w:val="00E01804"/>
    <w:rsid w:val="00E019F0"/>
    <w:rsid w:val="00E01D1B"/>
    <w:rsid w:val="00E020BE"/>
    <w:rsid w:val="00E0265E"/>
    <w:rsid w:val="00E02DC7"/>
    <w:rsid w:val="00E02EA1"/>
    <w:rsid w:val="00E030BC"/>
    <w:rsid w:val="00E03B78"/>
    <w:rsid w:val="00E03BAB"/>
    <w:rsid w:val="00E03D8E"/>
    <w:rsid w:val="00E04159"/>
    <w:rsid w:val="00E043CD"/>
    <w:rsid w:val="00E0451B"/>
    <w:rsid w:val="00E04563"/>
    <w:rsid w:val="00E0461F"/>
    <w:rsid w:val="00E04AB7"/>
    <w:rsid w:val="00E04AD5"/>
    <w:rsid w:val="00E04B6E"/>
    <w:rsid w:val="00E04CD3"/>
    <w:rsid w:val="00E04E77"/>
    <w:rsid w:val="00E04FBD"/>
    <w:rsid w:val="00E04FC4"/>
    <w:rsid w:val="00E05522"/>
    <w:rsid w:val="00E05994"/>
    <w:rsid w:val="00E05C21"/>
    <w:rsid w:val="00E05E78"/>
    <w:rsid w:val="00E05EA5"/>
    <w:rsid w:val="00E05F63"/>
    <w:rsid w:val="00E0616D"/>
    <w:rsid w:val="00E061AE"/>
    <w:rsid w:val="00E063BA"/>
    <w:rsid w:val="00E065C7"/>
    <w:rsid w:val="00E06DA4"/>
    <w:rsid w:val="00E07276"/>
    <w:rsid w:val="00E074D5"/>
    <w:rsid w:val="00E0759F"/>
    <w:rsid w:val="00E079B4"/>
    <w:rsid w:val="00E10172"/>
    <w:rsid w:val="00E102CF"/>
    <w:rsid w:val="00E10C71"/>
    <w:rsid w:val="00E10C91"/>
    <w:rsid w:val="00E10D92"/>
    <w:rsid w:val="00E11337"/>
    <w:rsid w:val="00E11555"/>
    <w:rsid w:val="00E11804"/>
    <w:rsid w:val="00E11D5B"/>
    <w:rsid w:val="00E11E42"/>
    <w:rsid w:val="00E1243E"/>
    <w:rsid w:val="00E124ED"/>
    <w:rsid w:val="00E1254E"/>
    <w:rsid w:val="00E12843"/>
    <w:rsid w:val="00E129B4"/>
    <w:rsid w:val="00E131F5"/>
    <w:rsid w:val="00E134FF"/>
    <w:rsid w:val="00E1356C"/>
    <w:rsid w:val="00E13757"/>
    <w:rsid w:val="00E13802"/>
    <w:rsid w:val="00E13841"/>
    <w:rsid w:val="00E13C8A"/>
    <w:rsid w:val="00E1405B"/>
    <w:rsid w:val="00E142E1"/>
    <w:rsid w:val="00E143A9"/>
    <w:rsid w:val="00E144B4"/>
    <w:rsid w:val="00E145AE"/>
    <w:rsid w:val="00E14653"/>
    <w:rsid w:val="00E14B34"/>
    <w:rsid w:val="00E14C0F"/>
    <w:rsid w:val="00E14D8B"/>
    <w:rsid w:val="00E14D8E"/>
    <w:rsid w:val="00E14E57"/>
    <w:rsid w:val="00E152CE"/>
    <w:rsid w:val="00E15386"/>
    <w:rsid w:val="00E153AE"/>
    <w:rsid w:val="00E15663"/>
    <w:rsid w:val="00E15895"/>
    <w:rsid w:val="00E15D99"/>
    <w:rsid w:val="00E15EDE"/>
    <w:rsid w:val="00E1609F"/>
    <w:rsid w:val="00E165E7"/>
    <w:rsid w:val="00E16DD3"/>
    <w:rsid w:val="00E17082"/>
    <w:rsid w:val="00E170FE"/>
    <w:rsid w:val="00E17606"/>
    <w:rsid w:val="00E177E3"/>
    <w:rsid w:val="00E1785B"/>
    <w:rsid w:val="00E17C36"/>
    <w:rsid w:val="00E17D7D"/>
    <w:rsid w:val="00E20056"/>
    <w:rsid w:val="00E202BF"/>
    <w:rsid w:val="00E20706"/>
    <w:rsid w:val="00E20933"/>
    <w:rsid w:val="00E209CF"/>
    <w:rsid w:val="00E20CEA"/>
    <w:rsid w:val="00E217B1"/>
    <w:rsid w:val="00E21AA3"/>
    <w:rsid w:val="00E21CB2"/>
    <w:rsid w:val="00E21D8C"/>
    <w:rsid w:val="00E21DB7"/>
    <w:rsid w:val="00E21E3F"/>
    <w:rsid w:val="00E2264C"/>
    <w:rsid w:val="00E22781"/>
    <w:rsid w:val="00E22F88"/>
    <w:rsid w:val="00E22FC5"/>
    <w:rsid w:val="00E23122"/>
    <w:rsid w:val="00E23369"/>
    <w:rsid w:val="00E23841"/>
    <w:rsid w:val="00E2393C"/>
    <w:rsid w:val="00E23A15"/>
    <w:rsid w:val="00E23A26"/>
    <w:rsid w:val="00E23A4A"/>
    <w:rsid w:val="00E23B83"/>
    <w:rsid w:val="00E23BF3"/>
    <w:rsid w:val="00E240EC"/>
    <w:rsid w:val="00E2422B"/>
    <w:rsid w:val="00E2449B"/>
    <w:rsid w:val="00E24896"/>
    <w:rsid w:val="00E248BE"/>
    <w:rsid w:val="00E24979"/>
    <w:rsid w:val="00E254E8"/>
    <w:rsid w:val="00E25A5F"/>
    <w:rsid w:val="00E25B49"/>
    <w:rsid w:val="00E25C25"/>
    <w:rsid w:val="00E25E2C"/>
    <w:rsid w:val="00E25E6F"/>
    <w:rsid w:val="00E2610F"/>
    <w:rsid w:val="00E26139"/>
    <w:rsid w:val="00E26A71"/>
    <w:rsid w:val="00E26B99"/>
    <w:rsid w:val="00E26D37"/>
    <w:rsid w:val="00E2719A"/>
    <w:rsid w:val="00E271DB"/>
    <w:rsid w:val="00E27776"/>
    <w:rsid w:val="00E2799A"/>
    <w:rsid w:val="00E27E0A"/>
    <w:rsid w:val="00E27ED7"/>
    <w:rsid w:val="00E302F1"/>
    <w:rsid w:val="00E30554"/>
    <w:rsid w:val="00E30771"/>
    <w:rsid w:val="00E309E7"/>
    <w:rsid w:val="00E30AD4"/>
    <w:rsid w:val="00E30B75"/>
    <w:rsid w:val="00E30C1E"/>
    <w:rsid w:val="00E310C2"/>
    <w:rsid w:val="00E314EC"/>
    <w:rsid w:val="00E31660"/>
    <w:rsid w:val="00E31799"/>
    <w:rsid w:val="00E31828"/>
    <w:rsid w:val="00E318F0"/>
    <w:rsid w:val="00E31C48"/>
    <w:rsid w:val="00E31D40"/>
    <w:rsid w:val="00E31EB4"/>
    <w:rsid w:val="00E321DB"/>
    <w:rsid w:val="00E322F1"/>
    <w:rsid w:val="00E3240F"/>
    <w:rsid w:val="00E32857"/>
    <w:rsid w:val="00E32938"/>
    <w:rsid w:val="00E32C00"/>
    <w:rsid w:val="00E32DA2"/>
    <w:rsid w:val="00E32DDA"/>
    <w:rsid w:val="00E32F01"/>
    <w:rsid w:val="00E32F24"/>
    <w:rsid w:val="00E32F57"/>
    <w:rsid w:val="00E32FDE"/>
    <w:rsid w:val="00E33172"/>
    <w:rsid w:val="00E333D3"/>
    <w:rsid w:val="00E33511"/>
    <w:rsid w:val="00E33677"/>
    <w:rsid w:val="00E33717"/>
    <w:rsid w:val="00E3390E"/>
    <w:rsid w:val="00E33A67"/>
    <w:rsid w:val="00E33D6B"/>
    <w:rsid w:val="00E33E33"/>
    <w:rsid w:val="00E33EF0"/>
    <w:rsid w:val="00E34558"/>
    <w:rsid w:val="00E34EAB"/>
    <w:rsid w:val="00E34EAD"/>
    <w:rsid w:val="00E3512E"/>
    <w:rsid w:val="00E35903"/>
    <w:rsid w:val="00E35A07"/>
    <w:rsid w:val="00E35E3E"/>
    <w:rsid w:val="00E36042"/>
    <w:rsid w:val="00E362F4"/>
    <w:rsid w:val="00E3662A"/>
    <w:rsid w:val="00E3680D"/>
    <w:rsid w:val="00E3682F"/>
    <w:rsid w:val="00E36886"/>
    <w:rsid w:val="00E36937"/>
    <w:rsid w:val="00E36A06"/>
    <w:rsid w:val="00E36F7A"/>
    <w:rsid w:val="00E370B6"/>
    <w:rsid w:val="00E375C5"/>
    <w:rsid w:val="00E37710"/>
    <w:rsid w:val="00E37A6A"/>
    <w:rsid w:val="00E37B08"/>
    <w:rsid w:val="00E37B66"/>
    <w:rsid w:val="00E37C4E"/>
    <w:rsid w:val="00E37D57"/>
    <w:rsid w:val="00E37D79"/>
    <w:rsid w:val="00E37DDB"/>
    <w:rsid w:val="00E37F2A"/>
    <w:rsid w:val="00E408A1"/>
    <w:rsid w:val="00E4092E"/>
    <w:rsid w:val="00E409F7"/>
    <w:rsid w:val="00E40BD2"/>
    <w:rsid w:val="00E40E42"/>
    <w:rsid w:val="00E40E49"/>
    <w:rsid w:val="00E40ED2"/>
    <w:rsid w:val="00E4116D"/>
    <w:rsid w:val="00E411DB"/>
    <w:rsid w:val="00E411F4"/>
    <w:rsid w:val="00E412ED"/>
    <w:rsid w:val="00E41411"/>
    <w:rsid w:val="00E415F0"/>
    <w:rsid w:val="00E4170B"/>
    <w:rsid w:val="00E418CE"/>
    <w:rsid w:val="00E41DDF"/>
    <w:rsid w:val="00E41F5C"/>
    <w:rsid w:val="00E41FD7"/>
    <w:rsid w:val="00E422B0"/>
    <w:rsid w:val="00E426E4"/>
    <w:rsid w:val="00E42A31"/>
    <w:rsid w:val="00E42E6C"/>
    <w:rsid w:val="00E4351F"/>
    <w:rsid w:val="00E4398C"/>
    <w:rsid w:val="00E43BE9"/>
    <w:rsid w:val="00E43C35"/>
    <w:rsid w:val="00E43FF9"/>
    <w:rsid w:val="00E441A8"/>
    <w:rsid w:val="00E44497"/>
    <w:rsid w:val="00E445E8"/>
    <w:rsid w:val="00E44AF2"/>
    <w:rsid w:val="00E44C2C"/>
    <w:rsid w:val="00E44D6C"/>
    <w:rsid w:val="00E44E52"/>
    <w:rsid w:val="00E44ECE"/>
    <w:rsid w:val="00E44FC8"/>
    <w:rsid w:val="00E453E0"/>
    <w:rsid w:val="00E454B1"/>
    <w:rsid w:val="00E454F3"/>
    <w:rsid w:val="00E459FE"/>
    <w:rsid w:val="00E45DA7"/>
    <w:rsid w:val="00E45EB6"/>
    <w:rsid w:val="00E45FE7"/>
    <w:rsid w:val="00E468C7"/>
    <w:rsid w:val="00E46B0C"/>
    <w:rsid w:val="00E47961"/>
    <w:rsid w:val="00E479EB"/>
    <w:rsid w:val="00E47B47"/>
    <w:rsid w:val="00E47D9B"/>
    <w:rsid w:val="00E47DA2"/>
    <w:rsid w:val="00E47FFA"/>
    <w:rsid w:val="00E50090"/>
    <w:rsid w:val="00E50094"/>
    <w:rsid w:val="00E5022B"/>
    <w:rsid w:val="00E502DF"/>
    <w:rsid w:val="00E50326"/>
    <w:rsid w:val="00E50789"/>
    <w:rsid w:val="00E5083A"/>
    <w:rsid w:val="00E50A3B"/>
    <w:rsid w:val="00E50E34"/>
    <w:rsid w:val="00E50E83"/>
    <w:rsid w:val="00E50FD4"/>
    <w:rsid w:val="00E51272"/>
    <w:rsid w:val="00E519E7"/>
    <w:rsid w:val="00E524EB"/>
    <w:rsid w:val="00E527E9"/>
    <w:rsid w:val="00E52938"/>
    <w:rsid w:val="00E52ABD"/>
    <w:rsid w:val="00E52C12"/>
    <w:rsid w:val="00E52E7C"/>
    <w:rsid w:val="00E52F27"/>
    <w:rsid w:val="00E536C7"/>
    <w:rsid w:val="00E53913"/>
    <w:rsid w:val="00E53DF0"/>
    <w:rsid w:val="00E5402D"/>
    <w:rsid w:val="00E5402F"/>
    <w:rsid w:val="00E54398"/>
    <w:rsid w:val="00E54667"/>
    <w:rsid w:val="00E548B9"/>
    <w:rsid w:val="00E54A89"/>
    <w:rsid w:val="00E551F3"/>
    <w:rsid w:val="00E55851"/>
    <w:rsid w:val="00E559E5"/>
    <w:rsid w:val="00E559F5"/>
    <w:rsid w:val="00E55A3C"/>
    <w:rsid w:val="00E55A9D"/>
    <w:rsid w:val="00E55B86"/>
    <w:rsid w:val="00E55C5E"/>
    <w:rsid w:val="00E55CF8"/>
    <w:rsid w:val="00E563C5"/>
    <w:rsid w:val="00E5677B"/>
    <w:rsid w:val="00E56C93"/>
    <w:rsid w:val="00E57187"/>
    <w:rsid w:val="00E571C6"/>
    <w:rsid w:val="00E5727E"/>
    <w:rsid w:val="00E57393"/>
    <w:rsid w:val="00E57406"/>
    <w:rsid w:val="00E574BD"/>
    <w:rsid w:val="00E577E5"/>
    <w:rsid w:val="00E57836"/>
    <w:rsid w:val="00E57C47"/>
    <w:rsid w:val="00E60314"/>
    <w:rsid w:val="00E607DC"/>
    <w:rsid w:val="00E6097A"/>
    <w:rsid w:val="00E609D8"/>
    <w:rsid w:val="00E60AD6"/>
    <w:rsid w:val="00E60C6B"/>
    <w:rsid w:val="00E60E95"/>
    <w:rsid w:val="00E61251"/>
    <w:rsid w:val="00E6147A"/>
    <w:rsid w:val="00E6185C"/>
    <w:rsid w:val="00E619C2"/>
    <w:rsid w:val="00E61AB0"/>
    <w:rsid w:val="00E61E1F"/>
    <w:rsid w:val="00E620CE"/>
    <w:rsid w:val="00E6289F"/>
    <w:rsid w:val="00E62BB9"/>
    <w:rsid w:val="00E62F2B"/>
    <w:rsid w:val="00E631BD"/>
    <w:rsid w:val="00E6336C"/>
    <w:rsid w:val="00E63699"/>
    <w:rsid w:val="00E6369A"/>
    <w:rsid w:val="00E636CE"/>
    <w:rsid w:val="00E63D26"/>
    <w:rsid w:val="00E642A8"/>
    <w:rsid w:val="00E642ED"/>
    <w:rsid w:val="00E64A3F"/>
    <w:rsid w:val="00E64A41"/>
    <w:rsid w:val="00E6503F"/>
    <w:rsid w:val="00E650E5"/>
    <w:rsid w:val="00E65178"/>
    <w:rsid w:val="00E6526F"/>
    <w:rsid w:val="00E652B1"/>
    <w:rsid w:val="00E652F6"/>
    <w:rsid w:val="00E6532D"/>
    <w:rsid w:val="00E6572F"/>
    <w:rsid w:val="00E657D7"/>
    <w:rsid w:val="00E6590B"/>
    <w:rsid w:val="00E65A28"/>
    <w:rsid w:val="00E65D41"/>
    <w:rsid w:val="00E65D70"/>
    <w:rsid w:val="00E65E01"/>
    <w:rsid w:val="00E65F02"/>
    <w:rsid w:val="00E66106"/>
    <w:rsid w:val="00E66165"/>
    <w:rsid w:val="00E661CE"/>
    <w:rsid w:val="00E6641C"/>
    <w:rsid w:val="00E665A4"/>
    <w:rsid w:val="00E66626"/>
    <w:rsid w:val="00E66C32"/>
    <w:rsid w:val="00E67499"/>
    <w:rsid w:val="00E674A3"/>
    <w:rsid w:val="00E67BA4"/>
    <w:rsid w:val="00E67CC0"/>
    <w:rsid w:val="00E67FA5"/>
    <w:rsid w:val="00E70048"/>
    <w:rsid w:val="00E7126C"/>
    <w:rsid w:val="00E71A8C"/>
    <w:rsid w:val="00E71C39"/>
    <w:rsid w:val="00E71F5C"/>
    <w:rsid w:val="00E7234E"/>
    <w:rsid w:val="00E725CC"/>
    <w:rsid w:val="00E72784"/>
    <w:rsid w:val="00E72951"/>
    <w:rsid w:val="00E72B6B"/>
    <w:rsid w:val="00E72D1C"/>
    <w:rsid w:val="00E72D78"/>
    <w:rsid w:val="00E736CA"/>
    <w:rsid w:val="00E73ADC"/>
    <w:rsid w:val="00E73C28"/>
    <w:rsid w:val="00E73D29"/>
    <w:rsid w:val="00E73F19"/>
    <w:rsid w:val="00E73FAD"/>
    <w:rsid w:val="00E741AB"/>
    <w:rsid w:val="00E742EC"/>
    <w:rsid w:val="00E74509"/>
    <w:rsid w:val="00E7479F"/>
    <w:rsid w:val="00E74A6F"/>
    <w:rsid w:val="00E74C48"/>
    <w:rsid w:val="00E74E1B"/>
    <w:rsid w:val="00E75077"/>
    <w:rsid w:val="00E75133"/>
    <w:rsid w:val="00E7526A"/>
    <w:rsid w:val="00E754EE"/>
    <w:rsid w:val="00E75A5F"/>
    <w:rsid w:val="00E75C54"/>
    <w:rsid w:val="00E76060"/>
    <w:rsid w:val="00E76C73"/>
    <w:rsid w:val="00E76F4D"/>
    <w:rsid w:val="00E77191"/>
    <w:rsid w:val="00E7734C"/>
    <w:rsid w:val="00E7750C"/>
    <w:rsid w:val="00E77627"/>
    <w:rsid w:val="00E7766A"/>
    <w:rsid w:val="00E77D01"/>
    <w:rsid w:val="00E77EF3"/>
    <w:rsid w:val="00E806B6"/>
    <w:rsid w:val="00E807BD"/>
    <w:rsid w:val="00E80816"/>
    <w:rsid w:val="00E80B2B"/>
    <w:rsid w:val="00E80B7F"/>
    <w:rsid w:val="00E80C53"/>
    <w:rsid w:val="00E80CEF"/>
    <w:rsid w:val="00E81269"/>
    <w:rsid w:val="00E812AA"/>
    <w:rsid w:val="00E81797"/>
    <w:rsid w:val="00E81821"/>
    <w:rsid w:val="00E818EA"/>
    <w:rsid w:val="00E819EE"/>
    <w:rsid w:val="00E819F1"/>
    <w:rsid w:val="00E82171"/>
    <w:rsid w:val="00E824AE"/>
    <w:rsid w:val="00E825A6"/>
    <w:rsid w:val="00E825D1"/>
    <w:rsid w:val="00E827E0"/>
    <w:rsid w:val="00E82A1C"/>
    <w:rsid w:val="00E82B26"/>
    <w:rsid w:val="00E82DBF"/>
    <w:rsid w:val="00E8356B"/>
    <w:rsid w:val="00E838BA"/>
    <w:rsid w:val="00E839EF"/>
    <w:rsid w:val="00E83AC1"/>
    <w:rsid w:val="00E83EE8"/>
    <w:rsid w:val="00E84009"/>
    <w:rsid w:val="00E84094"/>
    <w:rsid w:val="00E840FA"/>
    <w:rsid w:val="00E8420D"/>
    <w:rsid w:val="00E8434B"/>
    <w:rsid w:val="00E846BD"/>
    <w:rsid w:val="00E8497B"/>
    <w:rsid w:val="00E84C63"/>
    <w:rsid w:val="00E84DB3"/>
    <w:rsid w:val="00E84E5D"/>
    <w:rsid w:val="00E84F81"/>
    <w:rsid w:val="00E84FB6"/>
    <w:rsid w:val="00E853DC"/>
    <w:rsid w:val="00E85516"/>
    <w:rsid w:val="00E856E9"/>
    <w:rsid w:val="00E858FF"/>
    <w:rsid w:val="00E85BEA"/>
    <w:rsid w:val="00E85C44"/>
    <w:rsid w:val="00E85DCA"/>
    <w:rsid w:val="00E85E1F"/>
    <w:rsid w:val="00E85ED5"/>
    <w:rsid w:val="00E861D6"/>
    <w:rsid w:val="00E86519"/>
    <w:rsid w:val="00E8679E"/>
    <w:rsid w:val="00E86A39"/>
    <w:rsid w:val="00E86A60"/>
    <w:rsid w:val="00E86E94"/>
    <w:rsid w:val="00E86FF9"/>
    <w:rsid w:val="00E8726C"/>
    <w:rsid w:val="00E8789A"/>
    <w:rsid w:val="00E879B8"/>
    <w:rsid w:val="00E87E48"/>
    <w:rsid w:val="00E90362"/>
    <w:rsid w:val="00E90635"/>
    <w:rsid w:val="00E90ADE"/>
    <w:rsid w:val="00E90F60"/>
    <w:rsid w:val="00E90F8D"/>
    <w:rsid w:val="00E914C0"/>
    <w:rsid w:val="00E915CC"/>
    <w:rsid w:val="00E91788"/>
    <w:rsid w:val="00E91CD8"/>
    <w:rsid w:val="00E91D65"/>
    <w:rsid w:val="00E91DF9"/>
    <w:rsid w:val="00E9201F"/>
    <w:rsid w:val="00E920E2"/>
    <w:rsid w:val="00E92971"/>
    <w:rsid w:val="00E92FB3"/>
    <w:rsid w:val="00E933B6"/>
    <w:rsid w:val="00E938AF"/>
    <w:rsid w:val="00E94237"/>
    <w:rsid w:val="00E94481"/>
    <w:rsid w:val="00E94658"/>
    <w:rsid w:val="00E9476F"/>
    <w:rsid w:val="00E9496D"/>
    <w:rsid w:val="00E949CC"/>
    <w:rsid w:val="00E95283"/>
    <w:rsid w:val="00E95598"/>
    <w:rsid w:val="00E9564E"/>
    <w:rsid w:val="00E96215"/>
    <w:rsid w:val="00E96345"/>
    <w:rsid w:val="00E9639D"/>
    <w:rsid w:val="00E9695F"/>
    <w:rsid w:val="00E96CDE"/>
    <w:rsid w:val="00E96E99"/>
    <w:rsid w:val="00E96ED2"/>
    <w:rsid w:val="00E972A1"/>
    <w:rsid w:val="00E974A6"/>
    <w:rsid w:val="00E9757E"/>
    <w:rsid w:val="00E97693"/>
    <w:rsid w:val="00E9782B"/>
    <w:rsid w:val="00E97A29"/>
    <w:rsid w:val="00E97AD4"/>
    <w:rsid w:val="00E97CEC"/>
    <w:rsid w:val="00E97E9A"/>
    <w:rsid w:val="00E97FA3"/>
    <w:rsid w:val="00EA01F0"/>
    <w:rsid w:val="00EA043F"/>
    <w:rsid w:val="00EA0A17"/>
    <w:rsid w:val="00EA11E6"/>
    <w:rsid w:val="00EA1621"/>
    <w:rsid w:val="00EA17B8"/>
    <w:rsid w:val="00EA188C"/>
    <w:rsid w:val="00EA1A8E"/>
    <w:rsid w:val="00EA1FC5"/>
    <w:rsid w:val="00EA21A3"/>
    <w:rsid w:val="00EA241E"/>
    <w:rsid w:val="00EA2457"/>
    <w:rsid w:val="00EA24D1"/>
    <w:rsid w:val="00EA2638"/>
    <w:rsid w:val="00EA298D"/>
    <w:rsid w:val="00EA2C6F"/>
    <w:rsid w:val="00EA2D73"/>
    <w:rsid w:val="00EA2EF0"/>
    <w:rsid w:val="00EA2FCE"/>
    <w:rsid w:val="00EA3311"/>
    <w:rsid w:val="00EA3A70"/>
    <w:rsid w:val="00EA3A78"/>
    <w:rsid w:val="00EA411F"/>
    <w:rsid w:val="00EA483D"/>
    <w:rsid w:val="00EA4887"/>
    <w:rsid w:val="00EA489F"/>
    <w:rsid w:val="00EA4B16"/>
    <w:rsid w:val="00EA4C91"/>
    <w:rsid w:val="00EA4D88"/>
    <w:rsid w:val="00EA4DBD"/>
    <w:rsid w:val="00EA4FFA"/>
    <w:rsid w:val="00EA50AF"/>
    <w:rsid w:val="00EA50EE"/>
    <w:rsid w:val="00EA5188"/>
    <w:rsid w:val="00EA53FB"/>
    <w:rsid w:val="00EA5500"/>
    <w:rsid w:val="00EA5F99"/>
    <w:rsid w:val="00EA67F5"/>
    <w:rsid w:val="00EA694D"/>
    <w:rsid w:val="00EA6DC1"/>
    <w:rsid w:val="00EA7250"/>
    <w:rsid w:val="00EA73DD"/>
    <w:rsid w:val="00EA74A7"/>
    <w:rsid w:val="00EA78FF"/>
    <w:rsid w:val="00EB01A1"/>
    <w:rsid w:val="00EB059D"/>
    <w:rsid w:val="00EB0822"/>
    <w:rsid w:val="00EB08F8"/>
    <w:rsid w:val="00EB0A9B"/>
    <w:rsid w:val="00EB0FD3"/>
    <w:rsid w:val="00EB0FDE"/>
    <w:rsid w:val="00EB1147"/>
    <w:rsid w:val="00EB1273"/>
    <w:rsid w:val="00EB1B97"/>
    <w:rsid w:val="00EB20DA"/>
    <w:rsid w:val="00EB2109"/>
    <w:rsid w:val="00EB2227"/>
    <w:rsid w:val="00EB2488"/>
    <w:rsid w:val="00EB2650"/>
    <w:rsid w:val="00EB2908"/>
    <w:rsid w:val="00EB2BA7"/>
    <w:rsid w:val="00EB2F42"/>
    <w:rsid w:val="00EB2FFF"/>
    <w:rsid w:val="00EB3025"/>
    <w:rsid w:val="00EB31CE"/>
    <w:rsid w:val="00EB3227"/>
    <w:rsid w:val="00EB332B"/>
    <w:rsid w:val="00EB3529"/>
    <w:rsid w:val="00EB3873"/>
    <w:rsid w:val="00EB3DD9"/>
    <w:rsid w:val="00EB405B"/>
    <w:rsid w:val="00EB473D"/>
    <w:rsid w:val="00EB4952"/>
    <w:rsid w:val="00EB4B10"/>
    <w:rsid w:val="00EB4B72"/>
    <w:rsid w:val="00EB4D91"/>
    <w:rsid w:val="00EB50BE"/>
    <w:rsid w:val="00EB510F"/>
    <w:rsid w:val="00EB5677"/>
    <w:rsid w:val="00EB5AEC"/>
    <w:rsid w:val="00EB5B10"/>
    <w:rsid w:val="00EB67FB"/>
    <w:rsid w:val="00EB6841"/>
    <w:rsid w:val="00EB6924"/>
    <w:rsid w:val="00EB6CEC"/>
    <w:rsid w:val="00EB783B"/>
    <w:rsid w:val="00EB799C"/>
    <w:rsid w:val="00EB7A85"/>
    <w:rsid w:val="00EB7DEE"/>
    <w:rsid w:val="00EC0610"/>
    <w:rsid w:val="00EC075C"/>
    <w:rsid w:val="00EC09AF"/>
    <w:rsid w:val="00EC09BB"/>
    <w:rsid w:val="00EC0A82"/>
    <w:rsid w:val="00EC0A86"/>
    <w:rsid w:val="00EC0D5D"/>
    <w:rsid w:val="00EC0E6A"/>
    <w:rsid w:val="00EC115D"/>
    <w:rsid w:val="00EC13CE"/>
    <w:rsid w:val="00EC1A07"/>
    <w:rsid w:val="00EC1CB3"/>
    <w:rsid w:val="00EC1EC5"/>
    <w:rsid w:val="00EC1EDB"/>
    <w:rsid w:val="00EC1F93"/>
    <w:rsid w:val="00EC2143"/>
    <w:rsid w:val="00EC2282"/>
    <w:rsid w:val="00EC24C7"/>
    <w:rsid w:val="00EC2D5E"/>
    <w:rsid w:val="00EC3378"/>
    <w:rsid w:val="00EC3409"/>
    <w:rsid w:val="00EC3482"/>
    <w:rsid w:val="00EC34DF"/>
    <w:rsid w:val="00EC3518"/>
    <w:rsid w:val="00EC368E"/>
    <w:rsid w:val="00EC3836"/>
    <w:rsid w:val="00EC3918"/>
    <w:rsid w:val="00EC3A9D"/>
    <w:rsid w:val="00EC3CE0"/>
    <w:rsid w:val="00EC3D86"/>
    <w:rsid w:val="00EC4173"/>
    <w:rsid w:val="00EC4276"/>
    <w:rsid w:val="00EC46D7"/>
    <w:rsid w:val="00EC46F9"/>
    <w:rsid w:val="00EC498E"/>
    <w:rsid w:val="00EC4AA5"/>
    <w:rsid w:val="00EC4BDA"/>
    <w:rsid w:val="00EC4D98"/>
    <w:rsid w:val="00EC4F75"/>
    <w:rsid w:val="00EC5444"/>
    <w:rsid w:val="00EC5919"/>
    <w:rsid w:val="00EC59AD"/>
    <w:rsid w:val="00EC5A24"/>
    <w:rsid w:val="00EC5B00"/>
    <w:rsid w:val="00EC5C17"/>
    <w:rsid w:val="00EC5F31"/>
    <w:rsid w:val="00EC638F"/>
    <w:rsid w:val="00EC645C"/>
    <w:rsid w:val="00EC65BA"/>
    <w:rsid w:val="00EC6D39"/>
    <w:rsid w:val="00EC6DFF"/>
    <w:rsid w:val="00EC73B0"/>
    <w:rsid w:val="00EC7529"/>
    <w:rsid w:val="00EC7738"/>
    <w:rsid w:val="00EC7807"/>
    <w:rsid w:val="00EC78C3"/>
    <w:rsid w:val="00EC78F4"/>
    <w:rsid w:val="00EC79C1"/>
    <w:rsid w:val="00EC7DB2"/>
    <w:rsid w:val="00EC7ED9"/>
    <w:rsid w:val="00EC7FB1"/>
    <w:rsid w:val="00ED0693"/>
    <w:rsid w:val="00ED08DF"/>
    <w:rsid w:val="00ED0F9D"/>
    <w:rsid w:val="00ED1139"/>
    <w:rsid w:val="00ED120B"/>
    <w:rsid w:val="00ED14E1"/>
    <w:rsid w:val="00ED1A63"/>
    <w:rsid w:val="00ED1AE0"/>
    <w:rsid w:val="00ED1E35"/>
    <w:rsid w:val="00ED231C"/>
    <w:rsid w:val="00ED284A"/>
    <w:rsid w:val="00ED2BD7"/>
    <w:rsid w:val="00ED2CB7"/>
    <w:rsid w:val="00ED2CF2"/>
    <w:rsid w:val="00ED2FA1"/>
    <w:rsid w:val="00ED336B"/>
    <w:rsid w:val="00ED36A9"/>
    <w:rsid w:val="00ED395D"/>
    <w:rsid w:val="00ED39C2"/>
    <w:rsid w:val="00ED3B68"/>
    <w:rsid w:val="00ED3CF6"/>
    <w:rsid w:val="00ED3D06"/>
    <w:rsid w:val="00ED3DD8"/>
    <w:rsid w:val="00ED3E53"/>
    <w:rsid w:val="00ED3E67"/>
    <w:rsid w:val="00ED3EAB"/>
    <w:rsid w:val="00ED3F0B"/>
    <w:rsid w:val="00ED4186"/>
    <w:rsid w:val="00ED43B7"/>
    <w:rsid w:val="00ED46F4"/>
    <w:rsid w:val="00ED486E"/>
    <w:rsid w:val="00ED4ACF"/>
    <w:rsid w:val="00ED4CCD"/>
    <w:rsid w:val="00ED4D35"/>
    <w:rsid w:val="00ED4DE7"/>
    <w:rsid w:val="00ED4E8F"/>
    <w:rsid w:val="00ED4EC0"/>
    <w:rsid w:val="00ED51E7"/>
    <w:rsid w:val="00ED531D"/>
    <w:rsid w:val="00ED5857"/>
    <w:rsid w:val="00ED5A00"/>
    <w:rsid w:val="00ED61CC"/>
    <w:rsid w:val="00ED65DE"/>
    <w:rsid w:val="00ED68F2"/>
    <w:rsid w:val="00ED6A7E"/>
    <w:rsid w:val="00ED6E41"/>
    <w:rsid w:val="00ED76DB"/>
    <w:rsid w:val="00ED7746"/>
    <w:rsid w:val="00ED7FEB"/>
    <w:rsid w:val="00ED7FF2"/>
    <w:rsid w:val="00EE0605"/>
    <w:rsid w:val="00EE077D"/>
    <w:rsid w:val="00EE0B31"/>
    <w:rsid w:val="00EE0B9E"/>
    <w:rsid w:val="00EE0E23"/>
    <w:rsid w:val="00EE128D"/>
    <w:rsid w:val="00EE18B9"/>
    <w:rsid w:val="00EE1ACF"/>
    <w:rsid w:val="00EE1C08"/>
    <w:rsid w:val="00EE242C"/>
    <w:rsid w:val="00EE2540"/>
    <w:rsid w:val="00EE2DCD"/>
    <w:rsid w:val="00EE2DFA"/>
    <w:rsid w:val="00EE33BB"/>
    <w:rsid w:val="00EE374F"/>
    <w:rsid w:val="00EE380E"/>
    <w:rsid w:val="00EE39ED"/>
    <w:rsid w:val="00EE3A4B"/>
    <w:rsid w:val="00EE3C73"/>
    <w:rsid w:val="00EE3D5B"/>
    <w:rsid w:val="00EE3ED2"/>
    <w:rsid w:val="00EE42E3"/>
    <w:rsid w:val="00EE4519"/>
    <w:rsid w:val="00EE4559"/>
    <w:rsid w:val="00EE46F6"/>
    <w:rsid w:val="00EE47AA"/>
    <w:rsid w:val="00EE4A7D"/>
    <w:rsid w:val="00EE5035"/>
    <w:rsid w:val="00EE5107"/>
    <w:rsid w:val="00EE5B43"/>
    <w:rsid w:val="00EE5C27"/>
    <w:rsid w:val="00EE5F59"/>
    <w:rsid w:val="00EE5FCD"/>
    <w:rsid w:val="00EE6050"/>
    <w:rsid w:val="00EE6097"/>
    <w:rsid w:val="00EE60D7"/>
    <w:rsid w:val="00EE6779"/>
    <w:rsid w:val="00EE6DC1"/>
    <w:rsid w:val="00EE6F20"/>
    <w:rsid w:val="00EE6F49"/>
    <w:rsid w:val="00EE795A"/>
    <w:rsid w:val="00EF04C1"/>
    <w:rsid w:val="00EF084C"/>
    <w:rsid w:val="00EF08A1"/>
    <w:rsid w:val="00EF0A56"/>
    <w:rsid w:val="00EF0A70"/>
    <w:rsid w:val="00EF0F39"/>
    <w:rsid w:val="00EF0FD7"/>
    <w:rsid w:val="00EF15CA"/>
    <w:rsid w:val="00EF164D"/>
    <w:rsid w:val="00EF198C"/>
    <w:rsid w:val="00EF1994"/>
    <w:rsid w:val="00EF1EF8"/>
    <w:rsid w:val="00EF1F01"/>
    <w:rsid w:val="00EF1FD2"/>
    <w:rsid w:val="00EF2299"/>
    <w:rsid w:val="00EF2899"/>
    <w:rsid w:val="00EF2A32"/>
    <w:rsid w:val="00EF2AA8"/>
    <w:rsid w:val="00EF2B69"/>
    <w:rsid w:val="00EF2BF9"/>
    <w:rsid w:val="00EF2C2D"/>
    <w:rsid w:val="00EF2E91"/>
    <w:rsid w:val="00EF2FC7"/>
    <w:rsid w:val="00EF3057"/>
    <w:rsid w:val="00EF3557"/>
    <w:rsid w:val="00EF35EB"/>
    <w:rsid w:val="00EF3B81"/>
    <w:rsid w:val="00EF3C0D"/>
    <w:rsid w:val="00EF3D8F"/>
    <w:rsid w:val="00EF40A7"/>
    <w:rsid w:val="00EF440F"/>
    <w:rsid w:val="00EF450C"/>
    <w:rsid w:val="00EF47E9"/>
    <w:rsid w:val="00EF4879"/>
    <w:rsid w:val="00EF4B6D"/>
    <w:rsid w:val="00EF4C20"/>
    <w:rsid w:val="00EF52B2"/>
    <w:rsid w:val="00EF5478"/>
    <w:rsid w:val="00EF553D"/>
    <w:rsid w:val="00EF5607"/>
    <w:rsid w:val="00EF5707"/>
    <w:rsid w:val="00EF571F"/>
    <w:rsid w:val="00EF5847"/>
    <w:rsid w:val="00EF59C5"/>
    <w:rsid w:val="00EF5E63"/>
    <w:rsid w:val="00EF5FDB"/>
    <w:rsid w:val="00EF63CD"/>
    <w:rsid w:val="00EF64F5"/>
    <w:rsid w:val="00EF65F0"/>
    <w:rsid w:val="00EF6785"/>
    <w:rsid w:val="00EF69F2"/>
    <w:rsid w:val="00EF6A88"/>
    <w:rsid w:val="00EF6C4C"/>
    <w:rsid w:val="00EF6E6E"/>
    <w:rsid w:val="00EF6E8B"/>
    <w:rsid w:val="00EF792C"/>
    <w:rsid w:val="00EF7CBC"/>
    <w:rsid w:val="00EF7EA5"/>
    <w:rsid w:val="00EF7FD4"/>
    <w:rsid w:val="00F003BA"/>
    <w:rsid w:val="00F00516"/>
    <w:rsid w:val="00F006D6"/>
    <w:rsid w:val="00F00711"/>
    <w:rsid w:val="00F00787"/>
    <w:rsid w:val="00F0096A"/>
    <w:rsid w:val="00F00E3B"/>
    <w:rsid w:val="00F01043"/>
    <w:rsid w:val="00F015B7"/>
    <w:rsid w:val="00F01761"/>
    <w:rsid w:val="00F02227"/>
    <w:rsid w:val="00F024AB"/>
    <w:rsid w:val="00F02D19"/>
    <w:rsid w:val="00F02DCB"/>
    <w:rsid w:val="00F03023"/>
    <w:rsid w:val="00F03056"/>
    <w:rsid w:val="00F03189"/>
    <w:rsid w:val="00F03774"/>
    <w:rsid w:val="00F03892"/>
    <w:rsid w:val="00F03C62"/>
    <w:rsid w:val="00F03CBD"/>
    <w:rsid w:val="00F03EFF"/>
    <w:rsid w:val="00F04393"/>
    <w:rsid w:val="00F0442F"/>
    <w:rsid w:val="00F04685"/>
    <w:rsid w:val="00F047D9"/>
    <w:rsid w:val="00F048DA"/>
    <w:rsid w:val="00F04CC8"/>
    <w:rsid w:val="00F04CFC"/>
    <w:rsid w:val="00F050C4"/>
    <w:rsid w:val="00F0515F"/>
    <w:rsid w:val="00F05D43"/>
    <w:rsid w:val="00F05D66"/>
    <w:rsid w:val="00F05F06"/>
    <w:rsid w:val="00F05FEF"/>
    <w:rsid w:val="00F060FC"/>
    <w:rsid w:val="00F06391"/>
    <w:rsid w:val="00F065E8"/>
    <w:rsid w:val="00F06875"/>
    <w:rsid w:val="00F068A1"/>
    <w:rsid w:val="00F068DB"/>
    <w:rsid w:val="00F069CB"/>
    <w:rsid w:val="00F06CEE"/>
    <w:rsid w:val="00F06DD3"/>
    <w:rsid w:val="00F07413"/>
    <w:rsid w:val="00F0748A"/>
    <w:rsid w:val="00F07B33"/>
    <w:rsid w:val="00F07BD5"/>
    <w:rsid w:val="00F07CF0"/>
    <w:rsid w:val="00F07E54"/>
    <w:rsid w:val="00F100ED"/>
    <w:rsid w:val="00F10359"/>
    <w:rsid w:val="00F106B1"/>
    <w:rsid w:val="00F107A2"/>
    <w:rsid w:val="00F10860"/>
    <w:rsid w:val="00F108B4"/>
    <w:rsid w:val="00F10A50"/>
    <w:rsid w:val="00F10E19"/>
    <w:rsid w:val="00F10E31"/>
    <w:rsid w:val="00F11080"/>
    <w:rsid w:val="00F11172"/>
    <w:rsid w:val="00F11586"/>
    <w:rsid w:val="00F11822"/>
    <w:rsid w:val="00F118CC"/>
    <w:rsid w:val="00F11CBE"/>
    <w:rsid w:val="00F11E2E"/>
    <w:rsid w:val="00F11FC0"/>
    <w:rsid w:val="00F12382"/>
    <w:rsid w:val="00F12650"/>
    <w:rsid w:val="00F126A6"/>
    <w:rsid w:val="00F12700"/>
    <w:rsid w:val="00F12F08"/>
    <w:rsid w:val="00F12F14"/>
    <w:rsid w:val="00F13076"/>
    <w:rsid w:val="00F13409"/>
    <w:rsid w:val="00F136B7"/>
    <w:rsid w:val="00F13CBE"/>
    <w:rsid w:val="00F13EDC"/>
    <w:rsid w:val="00F140C9"/>
    <w:rsid w:val="00F140CF"/>
    <w:rsid w:val="00F141C0"/>
    <w:rsid w:val="00F14606"/>
    <w:rsid w:val="00F14949"/>
    <w:rsid w:val="00F149CD"/>
    <w:rsid w:val="00F14AD3"/>
    <w:rsid w:val="00F14DCC"/>
    <w:rsid w:val="00F14F41"/>
    <w:rsid w:val="00F151A5"/>
    <w:rsid w:val="00F1529D"/>
    <w:rsid w:val="00F153A3"/>
    <w:rsid w:val="00F1565D"/>
    <w:rsid w:val="00F15A6B"/>
    <w:rsid w:val="00F15DCB"/>
    <w:rsid w:val="00F161B0"/>
    <w:rsid w:val="00F162B0"/>
    <w:rsid w:val="00F16614"/>
    <w:rsid w:val="00F1666A"/>
    <w:rsid w:val="00F168D7"/>
    <w:rsid w:val="00F16AE3"/>
    <w:rsid w:val="00F16B70"/>
    <w:rsid w:val="00F16C7F"/>
    <w:rsid w:val="00F16E9D"/>
    <w:rsid w:val="00F171D2"/>
    <w:rsid w:val="00F17534"/>
    <w:rsid w:val="00F175B6"/>
    <w:rsid w:val="00F176B2"/>
    <w:rsid w:val="00F179D8"/>
    <w:rsid w:val="00F17B05"/>
    <w:rsid w:val="00F17C38"/>
    <w:rsid w:val="00F17F9D"/>
    <w:rsid w:val="00F17FEB"/>
    <w:rsid w:val="00F203A7"/>
    <w:rsid w:val="00F20A48"/>
    <w:rsid w:val="00F20A7F"/>
    <w:rsid w:val="00F211BA"/>
    <w:rsid w:val="00F21506"/>
    <w:rsid w:val="00F2163D"/>
    <w:rsid w:val="00F21BD0"/>
    <w:rsid w:val="00F221D7"/>
    <w:rsid w:val="00F2267D"/>
    <w:rsid w:val="00F22A05"/>
    <w:rsid w:val="00F22AE1"/>
    <w:rsid w:val="00F22C55"/>
    <w:rsid w:val="00F22E3E"/>
    <w:rsid w:val="00F231C1"/>
    <w:rsid w:val="00F23362"/>
    <w:rsid w:val="00F233BA"/>
    <w:rsid w:val="00F235D2"/>
    <w:rsid w:val="00F2366B"/>
    <w:rsid w:val="00F23834"/>
    <w:rsid w:val="00F23EEC"/>
    <w:rsid w:val="00F2403A"/>
    <w:rsid w:val="00F24203"/>
    <w:rsid w:val="00F24327"/>
    <w:rsid w:val="00F24380"/>
    <w:rsid w:val="00F24796"/>
    <w:rsid w:val="00F24C9D"/>
    <w:rsid w:val="00F24CE1"/>
    <w:rsid w:val="00F24DDF"/>
    <w:rsid w:val="00F25130"/>
    <w:rsid w:val="00F251E9"/>
    <w:rsid w:val="00F2580F"/>
    <w:rsid w:val="00F25EAA"/>
    <w:rsid w:val="00F265A8"/>
    <w:rsid w:val="00F26776"/>
    <w:rsid w:val="00F268CB"/>
    <w:rsid w:val="00F26B2A"/>
    <w:rsid w:val="00F26CC4"/>
    <w:rsid w:val="00F26CCE"/>
    <w:rsid w:val="00F26D77"/>
    <w:rsid w:val="00F26E72"/>
    <w:rsid w:val="00F2714A"/>
    <w:rsid w:val="00F271A0"/>
    <w:rsid w:val="00F272E9"/>
    <w:rsid w:val="00F277B9"/>
    <w:rsid w:val="00F27984"/>
    <w:rsid w:val="00F279CE"/>
    <w:rsid w:val="00F27CF7"/>
    <w:rsid w:val="00F30386"/>
    <w:rsid w:val="00F30437"/>
    <w:rsid w:val="00F315FC"/>
    <w:rsid w:val="00F317FE"/>
    <w:rsid w:val="00F31837"/>
    <w:rsid w:val="00F31F47"/>
    <w:rsid w:val="00F321DC"/>
    <w:rsid w:val="00F322BA"/>
    <w:rsid w:val="00F32760"/>
    <w:rsid w:val="00F3296E"/>
    <w:rsid w:val="00F32A27"/>
    <w:rsid w:val="00F32B10"/>
    <w:rsid w:val="00F32D7E"/>
    <w:rsid w:val="00F334E8"/>
    <w:rsid w:val="00F33618"/>
    <w:rsid w:val="00F338CE"/>
    <w:rsid w:val="00F33CD2"/>
    <w:rsid w:val="00F33CF4"/>
    <w:rsid w:val="00F340AB"/>
    <w:rsid w:val="00F34694"/>
    <w:rsid w:val="00F346A3"/>
    <w:rsid w:val="00F347AC"/>
    <w:rsid w:val="00F34B4F"/>
    <w:rsid w:val="00F35175"/>
    <w:rsid w:val="00F35347"/>
    <w:rsid w:val="00F353FB"/>
    <w:rsid w:val="00F355F5"/>
    <w:rsid w:val="00F35A5E"/>
    <w:rsid w:val="00F35BB8"/>
    <w:rsid w:val="00F361D5"/>
    <w:rsid w:val="00F361F7"/>
    <w:rsid w:val="00F3743C"/>
    <w:rsid w:val="00F375E8"/>
    <w:rsid w:val="00F37A1B"/>
    <w:rsid w:val="00F37B12"/>
    <w:rsid w:val="00F37BED"/>
    <w:rsid w:val="00F37F65"/>
    <w:rsid w:val="00F403DB"/>
    <w:rsid w:val="00F4097E"/>
    <w:rsid w:val="00F40BB2"/>
    <w:rsid w:val="00F40BDF"/>
    <w:rsid w:val="00F40DE2"/>
    <w:rsid w:val="00F40E47"/>
    <w:rsid w:val="00F41925"/>
    <w:rsid w:val="00F41A7E"/>
    <w:rsid w:val="00F4218D"/>
    <w:rsid w:val="00F4226A"/>
    <w:rsid w:val="00F4240C"/>
    <w:rsid w:val="00F42668"/>
    <w:rsid w:val="00F4276E"/>
    <w:rsid w:val="00F427B2"/>
    <w:rsid w:val="00F428FE"/>
    <w:rsid w:val="00F42BC2"/>
    <w:rsid w:val="00F42CD1"/>
    <w:rsid w:val="00F42FB0"/>
    <w:rsid w:val="00F43239"/>
    <w:rsid w:val="00F4326A"/>
    <w:rsid w:val="00F43443"/>
    <w:rsid w:val="00F436CA"/>
    <w:rsid w:val="00F43C16"/>
    <w:rsid w:val="00F43C48"/>
    <w:rsid w:val="00F43D22"/>
    <w:rsid w:val="00F43E7D"/>
    <w:rsid w:val="00F441FB"/>
    <w:rsid w:val="00F442E2"/>
    <w:rsid w:val="00F44378"/>
    <w:rsid w:val="00F44733"/>
    <w:rsid w:val="00F44800"/>
    <w:rsid w:val="00F4482E"/>
    <w:rsid w:val="00F44D6D"/>
    <w:rsid w:val="00F44E4B"/>
    <w:rsid w:val="00F44EC5"/>
    <w:rsid w:val="00F44FA0"/>
    <w:rsid w:val="00F4545D"/>
    <w:rsid w:val="00F45664"/>
    <w:rsid w:val="00F45842"/>
    <w:rsid w:val="00F458CF"/>
    <w:rsid w:val="00F45BF7"/>
    <w:rsid w:val="00F45EF7"/>
    <w:rsid w:val="00F461D3"/>
    <w:rsid w:val="00F4657E"/>
    <w:rsid w:val="00F4660F"/>
    <w:rsid w:val="00F46689"/>
    <w:rsid w:val="00F46E77"/>
    <w:rsid w:val="00F46ECA"/>
    <w:rsid w:val="00F4763F"/>
    <w:rsid w:val="00F477E2"/>
    <w:rsid w:val="00F478FC"/>
    <w:rsid w:val="00F478FE"/>
    <w:rsid w:val="00F47ABE"/>
    <w:rsid w:val="00F47C6D"/>
    <w:rsid w:val="00F47C75"/>
    <w:rsid w:val="00F47EC4"/>
    <w:rsid w:val="00F47F44"/>
    <w:rsid w:val="00F50070"/>
    <w:rsid w:val="00F50D50"/>
    <w:rsid w:val="00F51233"/>
    <w:rsid w:val="00F51252"/>
    <w:rsid w:val="00F51954"/>
    <w:rsid w:val="00F51AED"/>
    <w:rsid w:val="00F51C4E"/>
    <w:rsid w:val="00F51C8A"/>
    <w:rsid w:val="00F51E13"/>
    <w:rsid w:val="00F51F39"/>
    <w:rsid w:val="00F5249C"/>
    <w:rsid w:val="00F527A9"/>
    <w:rsid w:val="00F52ABB"/>
    <w:rsid w:val="00F52BD5"/>
    <w:rsid w:val="00F530AA"/>
    <w:rsid w:val="00F534FC"/>
    <w:rsid w:val="00F539BE"/>
    <w:rsid w:val="00F53A95"/>
    <w:rsid w:val="00F53F54"/>
    <w:rsid w:val="00F54763"/>
    <w:rsid w:val="00F547A9"/>
    <w:rsid w:val="00F547BF"/>
    <w:rsid w:val="00F5500F"/>
    <w:rsid w:val="00F5516E"/>
    <w:rsid w:val="00F556ED"/>
    <w:rsid w:val="00F55B3D"/>
    <w:rsid w:val="00F55F93"/>
    <w:rsid w:val="00F56130"/>
    <w:rsid w:val="00F5617D"/>
    <w:rsid w:val="00F5626E"/>
    <w:rsid w:val="00F563F0"/>
    <w:rsid w:val="00F569DE"/>
    <w:rsid w:val="00F56C31"/>
    <w:rsid w:val="00F56CAB"/>
    <w:rsid w:val="00F56CCA"/>
    <w:rsid w:val="00F56D6C"/>
    <w:rsid w:val="00F56DF9"/>
    <w:rsid w:val="00F570B4"/>
    <w:rsid w:val="00F5726D"/>
    <w:rsid w:val="00F57349"/>
    <w:rsid w:val="00F60672"/>
    <w:rsid w:val="00F606F2"/>
    <w:rsid w:val="00F607EC"/>
    <w:rsid w:val="00F610B0"/>
    <w:rsid w:val="00F61127"/>
    <w:rsid w:val="00F61162"/>
    <w:rsid w:val="00F6123B"/>
    <w:rsid w:val="00F612B5"/>
    <w:rsid w:val="00F616A7"/>
    <w:rsid w:val="00F620FB"/>
    <w:rsid w:val="00F62240"/>
    <w:rsid w:val="00F6245E"/>
    <w:rsid w:val="00F630C0"/>
    <w:rsid w:val="00F631B2"/>
    <w:rsid w:val="00F6361D"/>
    <w:rsid w:val="00F63738"/>
    <w:rsid w:val="00F6389E"/>
    <w:rsid w:val="00F63A7C"/>
    <w:rsid w:val="00F63CE4"/>
    <w:rsid w:val="00F63D96"/>
    <w:rsid w:val="00F64001"/>
    <w:rsid w:val="00F644C4"/>
    <w:rsid w:val="00F64756"/>
    <w:rsid w:val="00F64A86"/>
    <w:rsid w:val="00F64DA5"/>
    <w:rsid w:val="00F65016"/>
    <w:rsid w:val="00F651CA"/>
    <w:rsid w:val="00F655B1"/>
    <w:rsid w:val="00F65631"/>
    <w:rsid w:val="00F65C0A"/>
    <w:rsid w:val="00F65C36"/>
    <w:rsid w:val="00F6605F"/>
    <w:rsid w:val="00F663B0"/>
    <w:rsid w:val="00F6674C"/>
    <w:rsid w:val="00F669DF"/>
    <w:rsid w:val="00F66B1E"/>
    <w:rsid w:val="00F66EDF"/>
    <w:rsid w:val="00F670EA"/>
    <w:rsid w:val="00F6725F"/>
    <w:rsid w:val="00F6754F"/>
    <w:rsid w:val="00F67844"/>
    <w:rsid w:val="00F67E35"/>
    <w:rsid w:val="00F67EA1"/>
    <w:rsid w:val="00F67F73"/>
    <w:rsid w:val="00F702E1"/>
    <w:rsid w:val="00F706AF"/>
    <w:rsid w:val="00F707F2"/>
    <w:rsid w:val="00F70971"/>
    <w:rsid w:val="00F70A23"/>
    <w:rsid w:val="00F71103"/>
    <w:rsid w:val="00F71134"/>
    <w:rsid w:val="00F711A3"/>
    <w:rsid w:val="00F7137F"/>
    <w:rsid w:val="00F71B82"/>
    <w:rsid w:val="00F721EA"/>
    <w:rsid w:val="00F724A7"/>
    <w:rsid w:val="00F724EC"/>
    <w:rsid w:val="00F729E2"/>
    <w:rsid w:val="00F72D56"/>
    <w:rsid w:val="00F733A4"/>
    <w:rsid w:val="00F73781"/>
    <w:rsid w:val="00F73AD2"/>
    <w:rsid w:val="00F73BBA"/>
    <w:rsid w:val="00F73DFA"/>
    <w:rsid w:val="00F73E5D"/>
    <w:rsid w:val="00F74165"/>
    <w:rsid w:val="00F74435"/>
    <w:rsid w:val="00F74BAC"/>
    <w:rsid w:val="00F74FF0"/>
    <w:rsid w:val="00F7511E"/>
    <w:rsid w:val="00F751FB"/>
    <w:rsid w:val="00F75623"/>
    <w:rsid w:val="00F758CB"/>
    <w:rsid w:val="00F759AB"/>
    <w:rsid w:val="00F75AB2"/>
    <w:rsid w:val="00F75CB3"/>
    <w:rsid w:val="00F75D94"/>
    <w:rsid w:val="00F762D5"/>
    <w:rsid w:val="00F76389"/>
    <w:rsid w:val="00F7642E"/>
    <w:rsid w:val="00F769FD"/>
    <w:rsid w:val="00F76A85"/>
    <w:rsid w:val="00F76BCE"/>
    <w:rsid w:val="00F77186"/>
    <w:rsid w:val="00F776EB"/>
    <w:rsid w:val="00F77A0E"/>
    <w:rsid w:val="00F77CAF"/>
    <w:rsid w:val="00F80103"/>
    <w:rsid w:val="00F80257"/>
    <w:rsid w:val="00F804CB"/>
    <w:rsid w:val="00F80CB0"/>
    <w:rsid w:val="00F80D54"/>
    <w:rsid w:val="00F80DCB"/>
    <w:rsid w:val="00F81072"/>
    <w:rsid w:val="00F81150"/>
    <w:rsid w:val="00F813A4"/>
    <w:rsid w:val="00F8143D"/>
    <w:rsid w:val="00F81D51"/>
    <w:rsid w:val="00F81D7A"/>
    <w:rsid w:val="00F82367"/>
    <w:rsid w:val="00F823CF"/>
    <w:rsid w:val="00F82423"/>
    <w:rsid w:val="00F829EA"/>
    <w:rsid w:val="00F82C4B"/>
    <w:rsid w:val="00F82EFF"/>
    <w:rsid w:val="00F8326B"/>
    <w:rsid w:val="00F832E0"/>
    <w:rsid w:val="00F83587"/>
    <w:rsid w:val="00F8367E"/>
    <w:rsid w:val="00F83DD1"/>
    <w:rsid w:val="00F84354"/>
    <w:rsid w:val="00F84896"/>
    <w:rsid w:val="00F84C4B"/>
    <w:rsid w:val="00F8501A"/>
    <w:rsid w:val="00F850C7"/>
    <w:rsid w:val="00F8513D"/>
    <w:rsid w:val="00F851F7"/>
    <w:rsid w:val="00F8533A"/>
    <w:rsid w:val="00F8536B"/>
    <w:rsid w:val="00F85375"/>
    <w:rsid w:val="00F8546B"/>
    <w:rsid w:val="00F854B8"/>
    <w:rsid w:val="00F85586"/>
    <w:rsid w:val="00F85D3F"/>
    <w:rsid w:val="00F863FA"/>
    <w:rsid w:val="00F8655F"/>
    <w:rsid w:val="00F866B2"/>
    <w:rsid w:val="00F86A9B"/>
    <w:rsid w:val="00F872CD"/>
    <w:rsid w:val="00F87516"/>
    <w:rsid w:val="00F875FD"/>
    <w:rsid w:val="00F8760F"/>
    <w:rsid w:val="00F87791"/>
    <w:rsid w:val="00F878CF"/>
    <w:rsid w:val="00F87C99"/>
    <w:rsid w:val="00F87E34"/>
    <w:rsid w:val="00F87EF5"/>
    <w:rsid w:val="00F900E7"/>
    <w:rsid w:val="00F905BC"/>
    <w:rsid w:val="00F905ED"/>
    <w:rsid w:val="00F913B1"/>
    <w:rsid w:val="00F91727"/>
    <w:rsid w:val="00F918CE"/>
    <w:rsid w:val="00F91B0D"/>
    <w:rsid w:val="00F91E2E"/>
    <w:rsid w:val="00F92432"/>
    <w:rsid w:val="00F92889"/>
    <w:rsid w:val="00F92E10"/>
    <w:rsid w:val="00F9333E"/>
    <w:rsid w:val="00F93341"/>
    <w:rsid w:val="00F93D42"/>
    <w:rsid w:val="00F93EB1"/>
    <w:rsid w:val="00F93F70"/>
    <w:rsid w:val="00F940A7"/>
    <w:rsid w:val="00F941F0"/>
    <w:rsid w:val="00F94294"/>
    <w:rsid w:val="00F9438E"/>
    <w:rsid w:val="00F9493A"/>
    <w:rsid w:val="00F94A05"/>
    <w:rsid w:val="00F94B4E"/>
    <w:rsid w:val="00F94E33"/>
    <w:rsid w:val="00F94E99"/>
    <w:rsid w:val="00F95052"/>
    <w:rsid w:val="00F9551D"/>
    <w:rsid w:val="00F95635"/>
    <w:rsid w:val="00F95684"/>
    <w:rsid w:val="00F95B38"/>
    <w:rsid w:val="00F95C51"/>
    <w:rsid w:val="00F95F8F"/>
    <w:rsid w:val="00F960FB"/>
    <w:rsid w:val="00F964BD"/>
    <w:rsid w:val="00F96661"/>
    <w:rsid w:val="00F96708"/>
    <w:rsid w:val="00F96958"/>
    <w:rsid w:val="00F96ACE"/>
    <w:rsid w:val="00F96C67"/>
    <w:rsid w:val="00F97035"/>
    <w:rsid w:val="00F9740E"/>
    <w:rsid w:val="00F97500"/>
    <w:rsid w:val="00F97640"/>
    <w:rsid w:val="00F97814"/>
    <w:rsid w:val="00F97844"/>
    <w:rsid w:val="00F97CA8"/>
    <w:rsid w:val="00F97CA9"/>
    <w:rsid w:val="00F97D98"/>
    <w:rsid w:val="00F97E0C"/>
    <w:rsid w:val="00F97F65"/>
    <w:rsid w:val="00FA0181"/>
    <w:rsid w:val="00FA0230"/>
    <w:rsid w:val="00FA02DA"/>
    <w:rsid w:val="00FA06EA"/>
    <w:rsid w:val="00FA0824"/>
    <w:rsid w:val="00FA0C93"/>
    <w:rsid w:val="00FA102B"/>
    <w:rsid w:val="00FA15A8"/>
    <w:rsid w:val="00FA1E53"/>
    <w:rsid w:val="00FA1EFE"/>
    <w:rsid w:val="00FA20A7"/>
    <w:rsid w:val="00FA2124"/>
    <w:rsid w:val="00FA269E"/>
    <w:rsid w:val="00FA2731"/>
    <w:rsid w:val="00FA2B78"/>
    <w:rsid w:val="00FA3261"/>
    <w:rsid w:val="00FA3531"/>
    <w:rsid w:val="00FA35D1"/>
    <w:rsid w:val="00FA36C4"/>
    <w:rsid w:val="00FA37A5"/>
    <w:rsid w:val="00FA38AB"/>
    <w:rsid w:val="00FA39E1"/>
    <w:rsid w:val="00FA3A07"/>
    <w:rsid w:val="00FA3BB0"/>
    <w:rsid w:val="00FA3C76"/>
    <w:rsid w:val="00FA3E27"/>
    <w:rsid w:val="00FA3F2B"/>
    <w:rsid w:val="00FA42A0"/>
    <w:rsid w:val="00FA455F"/>
    <w:rsid w:val="00FA4C49"/>
    <w:rsid w:val="00FA4DED"/>
    <w:rsid w:val="00FA523E"/>
    <w:rsid w:val="00FA5AB7"/>
    <w:rsid w:val="00FA5C18"/>
    <w:rsid w:val="00FA5E56"/>
    <w:rsid w:val="00FA6027"/>
    <w:rsid w:val="00FA60BB"/>
    <w:rsid w:val="00FA6205"/>
    <w:rsid w:val="00FA649F"/>
    <w:rsid w:val="00FA684C"/>
    <w:rsid w:val="00FA6B86"/>
    <w:rsid w:val="00FA6DEE"/>
    <w:rsid w:val="00FA6EAA"/>
    <w:rsid w:val="00FA6EF7"/>
    <w:rsid w:val="00FA70E9"/>
    <w:rsid w:val="00FA714C"/>
    <w:rsid w:val="00FA72D1"/>
    <w:rsid w:val="00FA76D5"/>
    <w:rsid w:val="00FA79A8"/>
    <w:rsid w:val="00FA7BA5"/>
    <w:rsid w:val="00FB03B6"/>
    <w:rsid w:val="00FB068B"/>
    <w:rsid w:val="00FB06EC"/>
    <w:rsid w:val="00FB07AD"/>
    <w:rsid w:val="00FB0AA5"/>
    <w:rsid w:val="00FB10E1"/>
    <w:rsid w:val="00FB11D0"/>
    <w:rsid w:val="00FB1958"/>
    <w:rsid w:val="00FB1A67"/>
    <w:rsid w:val="00FB1A9F"/>
    <w:rsid w:val="00FB1EC7"/>
    <w:rsid w:val="00FB21E8"/>
    <w:rsid w:val="00FB25A9"/>
    <w:rsid w:val="00FB268D"/>
    <w:rsid w:val="00FB2771"/>
    <w:rsid w:val="00FB2CE0"/>
    <w:rsid w:val="00FB3081"/>
    <w:rsid w:val="00FB316F"/>
    <w:rsid w:val="00FB3517"/>
    <w:rsid w:val="00FB3577"/>
    <w:rsid w:val="00FB3636"/>
    <w:rsid w:val="00FB4227"/>
    <w:rsid w:val="00FB4D37"/>
    <w:rsid w:val="00FB50B7"/>
    <w:rsid w:val="00FB5408"/>
    <w:rsid w:val="00FB5493"/>
    <w:rsid w:val="00FB579B"/>
    <w:rsid w:val="00FB5B43"/>
    <w:rsid w:val="00FB624F"/>
    <w:rsid w:val="00FB637A"/>
    <w:rsid w:val="00FB656B"/>
    <w:rsid w:val="00FB66BE"/>
    <w:rsid w:val="00FB6F4E"/>
    <w:rsid w:val="00FB7117"/>
    <w:rsid w:val="00FB72E4"/>
    <w:rsid w:val="00FB73A4"/>
    <w:rsid w:val="00FB7EFD"/>
    <w:rsid w:val="00FC0060"/>
    <w:rsid w:val="00FC00E5"/>
    <w:rsid w:val="00FC0108"/>
    <w:rsid w:val="00FC0401"/>
    <w:rsid w:val="00FC0510"/>
    <w:rsid w:val="00FC0650"/>
    <w:rsid w:val="00FC07B5"/>
    <w:rsid w:val="00FC08F0"/>
    <w:rsid w:val="00FC0FF9"/>
    <w:rsid w:val="00FC10DD"/>
    <w:rsid w:val="00FC12D7"/>
    <w:rsid w:val="00FC15D8"/>
    <w:rsid w:val="00FC17CF"/>
    <w:rsid w:val="00FC1AF8"/>
    <w:rsid w:val="00FC22E7"/>
    <w:rsid w:val="00FC249A"/>
    <w:rsid w:val="00FC364B"/>
    <w:rsid w:val="00FC36C4"/>
    <w:rsid w:val="00FC39FA"/>
    <w:rsid w:val="00FC3A8D"/>
    <w:rsid w:val="00FC3E3B"/>
    <w:rsid w:val="00FC4298"/>
    <w:rsid w:val="00FC43EC"/>
    <w:rsid w:val="00FC46F0"/>
    <w:rsid w:val="00FC4841"/>
    <w:rsid w:val="00FC4BC6"/>
    <w:rsid w:val="00FC4C7F"/>
    <w:rsid w:val="00FC4CEC"/>
    <w:rsid w:val="00FC5079"/>
    <w:rsid w:val="00FC518D"/>
    <w:rsid w:val="00FC5E3F"/>
    <w:rsid w:val="00FC5EED"/>
    <w:rsid w:val="00FC61B1"/>
    <w:rsid w:val="00FC63B4"/>
    <w:rsid w:val="00FC63BF"/>
    <w:rsid w:val="00FC6659"/>
    <w:rsid w:val="00FC6959"/>
    <w:rsid w:val="00FC6964"/>
    <w:rsid w:val="00FC6B18"/>
    <w:rsid w:val="00FC6CBB"/>
    <w:rsid w:val="00FC6E7B"/>
    <w:rsid w:val="00FC6FAF"/>
    <w:rsid w:val="00FC6FB9"/>
    <w:rsid w:val="00FC72D3"/>
    <w:rsid w:val="00FC7447"/>
    <w:rsid w:val="00FC75D9"/>
    <w:rsid w:val="00FC77B3"/>
    <w:rsid w:val="00FC79BC"/>
    <w:rsid w:val="00FC7A46"/>
    <w:rsid w:val="00FC7D50"/>
    <w:rsid w:val="00FD02AB"/>
    <w:rsid w:val="00FD0428"/>
    <w:rsid w:val="00FD04A6"/>
    <w:rsid w:val="00FD09AC"/>
    <w:rsid w:val="00FD0BB2"/>
    <w:rsid w:val="00FD11C1"/>
    <w:rsid w:val="00FD126C"/>
    <w:rsid w:val="00FD131C"/>
    <w:rsid w:val="00FD144C"/>
    <w:rsid w:val="00FD1602"/>
    <w:rsid w:val="00FD1A33"/>
    <w:rsid w:val="00FD1CC3"/>
    <w:rsid w:val="00FD1D8D"/>
    <w:rsid w:val="00FD1EA9"/>
    <w:rsid w:val="00FD232E"/>
    <w:rsid w:val="00FD23B8"/>
    <w:rsid w:val="00FD24CB"/>
    <w:rsid w:val="00FD2729"/>
    <w:rsid w:val="00FD288A"/>
    <w:rsid w:val="00FD29F2"/>
    <w:rsid w:val="00FD2D93"/>
    <w:rsid w:val="00FD3595"/>
    <w:rsid w:val="00FD3631"/>
    <w:rsid w:val="00FD36CD"/>
    <w:rsid w:val="00FD3789"/>
    <w:rsid w:val="00FD383E"/>
    <w:rsid w:val="00FD39A8"/>
    <w:rsid w:val="00FD474D"/>
    <w:rsid w:val="00FD4D5B"/>
    <w:rsid w:val="00FD4F8F"/>
    <w:rsid w:val="00FD5111"/>
    <w:rsid w:val="00FD5120"/>
    <w:rsid w:val="00FD512F"/>
    <w:rsid w:val="00FD53A0"/>
    <w:rsid w:val="00FD5634"/>
    <w:rsid w:val="00FD5992"/>
    <w:rsid w:val="00FD5D59"/>
    <w:rsid w:val="00FD5F1A"/>
    <w:rsid w:val="00FD60BF"/>
    <w:rsid w:val="00FD62E4"/>
    <w:rsid w:val="00FD6452"/>
    <w:rsid w:val="00FD6455"/>
    <w:rsid w:val="00FD6960"/>
    <w:rsid w:val="00FD6E59"/>
    <w:rsid w:val="00FD6EE6"/>
    <w:rsid w:val="00FD715A"/>
    <w:rsid w:val="00FD74AB"/>
    <w:rsid w:val="00FD7A91"/>
    <w:rsid w:val="00FD7E49"/>
    <w:rsid w:val="00FE0258"/>
    <w:rsid w:val="00FE0715"/>
    <w:rsid w:val="00FE0A8D"/>
    <w:rsid w:val="00FE0D99"/>
    <w:rsid w:val="00FE0E25"/>
    <w:rsid w:val="00FE1117"/>
    <w:rsid w:val="00FE12BE"/>
    <w:rsid w:val="00FE1858"/>
    <w:rsid w:val="00FE1930"/>
    <w:rsid w:val="00FE197D"/>
    <w:rsid w:val="00FE1C13"/>
    <w:rsid w:val="00FE1D45"/>
    <w:rsid w:val="00FE1EBB"/>
    <w:rsid w:val="00FE1EF9"/>
    <w:rsid w:val="00FE1F0E"/>
    <w:rsid w:val="00FE23BE"/>
    <w:rsid w:val="00FE240A"/>
    <w:rsid w:val="00FE2B3C"/>
    <w:rsid w:val="00FE3608"/>
    <w:rsid w:val="00FE3745"/>
    <w:rsid w:val="00FE3ACD"/>
    <w:rsid w:val="00FE3BF4"/>
    <w:rsid w:val="00FE3DAF"/>
    <w:rsid w:val="00FE3FFE"/>
    <w:rsid w:val="00FE4183"/>
    <w:rsid w:val="00FE41E0"/>
    <w:rsid w:val="00FE42CF"/>
    <w:rsid w:val="00FE43CF"/>
    <w:rsid w:val="00FE4725"/>
    <w:rsid w:val="00FE4907"/>
    <w:rsid w:val="00FE4AFC"/>
    <w:rsid w:val="00FE5082"/>
    <w:rsid w:val="00FE5144"/>
    <w:rsid w:val="00FE51A6"/>
    <w:rsid w:val="00FE51CE"/>
    <w:rsid w:val="00FE56D6"/>
    <w:rsid w:val="00FE58F3"/>
    <w:rsid w:val="00FE5BC6"/>
    <w:rsid w:val="00FE5FFD"/>
    <w:rsid w:val="00FE67C3"/>
    <w:rsid w:val="00FE6848"/>
    <w:rsid w:val="00FE6A17"/>
    <w:rsid w:val="00FE70A2"/>
    <w:rsid w:val="00FE71EC"/>
    <w:rsid w:val="00FE75D5"/>
    <w:rsid w:val="00FE766F"/>
    <w:rsid w:val="00FE7751"/>
    <w:rsid w:val="00FE7974"/>
    <w:rsid w:val="00FE7D1F"/>
    <w:rsid w:val="00FF00EF"/>
    <w:rsid w:val="00FF0460"/>
    <w:rsid w:val="00FF05C6"/>
    <w:rsid w:val="00FF06AC"/>
    <w:rsid w:val="00FF0D7B"/>
    <w:rsid w:val="00FF0F96"/>
    <w:rsid w:val="00FF1100"/>
    <w:rsid w:val="00FF14D3"/>
    <w:rsid w:val="00FF1523"/>
    <w:rsid w:val="00FF15E8"/>
    <w:rsid w:val="00FF1935"/>
    <w:rsid w:val="00FF1B39"/>
    <w:rsid w:val="00FF1D3F"/>
    <w:rsid w:val="00FF248D"/>
    <w:rsid w:val="00FF25F8"/>
    <w:rsid w:val="00FF2633"/>
    <w:rsid w:val="00FF2D0F"/>
    <w:rsid w:val="00FF2D96"/>
    <w:rsid w:val="00FF2F9D"/>
    <w:rsid w:val="00FF33FB"/>
    <w:rsid w:val="00FF3514"/>
    <w:rsid w:val="00FF35E0"/>
    <w:rsid w:val="00FF39F3"/>
    <w:rsid w:val="00FF3E7A"/>
    <w:rsid w:val="00FF3F87"/>
    <w:rsid w:val="00FF4052"/>
    <w:rsid w:val="00FF41A5"/>
    <w:rsid w:val="00FF421E"/>
    <w:rsid w:val="00FF4338"/>
    <w:rsid w:val="00FF460E"/>
    <w:rsid w:val="00FF49E9"/>
    <w:rsid w:val="00FF4BA0"/>
    <w:rsid w:val="00FF5696"/>
    <w:rsid w:val="00FF5967"/>
    <w:rsid w:val="00FF5BD1"/>
    <w:rsid w:val="00FF5F27"/>
    <w:rsid w:val="00FF5F9B"/>
    <w:rsid w:val="00FF6195"/>
    <w:rsid w:val="00FF6201"/>
    <w:rsid w:val="00FF63A6"/>
    <w:rsid w:val="00FF67A8"/>
    <w:rsid w:val="00FF67CD"/>
    <w:rsid w:val="00FF70EC"/>
    <w:rsid w:val="00FF7462"/>
    <w:rsid w:val="00FF7630"/>
    <w:rsid w:val="00FF768F"/>
    <w:rsid w:val="00FF788F"/>
    <w:rsid w:val="00FF7DD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Calibri" w:hAnsiTheme="minorHAnsi" w:cstheme="minorBidi"/>
        <w:sz w:val="22"/>
        <w:szCs w:val="22"/>
        <w:lang w:val="de-DE"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F314D"/>
    <w:pPr>
      <w:spacing w:line="288" w:lineRule="auto"/>
    </w:pPr>
    <w:rPr>
      <w:rFonts w:ascii="Times New Roman" w:hAnsi="Times New Roman" w:cs="Times New Roman"/>
      <w:sz w:val="28"/>
    </w:rPr>
  </w:style>
  <w:style w:type="paragraph" w:styleId="berschrift1">
    <w:name w:val="heading 1"/>
    <w:aliases w:val="_A,B,C"/>
    <w:basedOn w:val="Standard"/>
    <w:next w:val="Standard"/>
    <w:link w:val="berschrift1Zchn"/>
    <w:uiPriority w:val="9"/>
    <w:qFormat/>
    <w:rsid w:val="002B6C19"/>
    <w:pPr>
      <w:keepNext/>
      <w:keepLines/>
      <w:pageBreakBefore/>
      <w:numPr>
        <w:numId w:val="9"/>
      </w:numPr>
      <w:suppressAutoHyphens/>
      <w:spacing w:before="240" w:after="600" w:line="240" w:lineRule="auto"/>
      <w:ind w:left="851" w:hanging="851"/>
      <w:jc w:val="left"/>
      <w:outlineLvl w:val="0"/>
    </w:pPr>
    <w:rPr>
      <w:rFonts w:asciiTheme="majorHAnsi" w:eastAsiaTheme="majorEastAsia" w:hAnsiTheme="majorHAnsi" w:cstheme="majorBidi"/>
      <w:b/>
      <w:bCs/>
      <w:sz w:val="50"/>
      <w:szCs w:val="28"/>
    </w:rPr>
  </w:style>
  <w:style w:type="paragraph" w:styleId="berschrift2">
    <w:name w:val="heading 2"/>
    <w:aliases w:val="_I,II,III"/>
    <w:basedOn w:val="Standard"/>
    <w:next w:val="Standard"/>
    <w:link w:val="berschrift2Zchn"/>
    <w:uiPriority w:val="9"/>
    <w:unhideWhenUsed/>
    <w:qFormat/>
    <w:rsid w:val="002B6C19"/>
    <w:pPr>
      <w:keepNext/>
      <w:keepLines/>
      <w:numPr>
        <w:numId w:val="10"/>
      </w:numPr>
      <w:suppressAutoHyphens/>
      <w:spacing w:before="480" w:after="240" w:line="240" w:lineRule="auto"/>
      <w:ind w:left="1021" w:hanging="851"/>
      <w:jc w:val="left"/>
      <w:outlineLvl w:val="1"/>
    </w:pPr>
    <w:rPr>
      <w:rFonts w:asciiTheme="majorHAnsi" w:eastAsiaTheme="majorEastAsia" w:hAnsiTheme="majorHAnsi" w:cstheme="majorBidi"/>
      <w:b/>
      <w:bCs/>
      <w:sz w:val="40"/>
      <w:szCs w:val="26"/>
    </w:rPr>
  </w:style>
  <w:style w:type="paragraph" w:styleId="berschrift3">
    <w:name w:val="heading 3"/>
    <w:aliases w:val="_1,2,3"/>
    <w:basedOn w:val="Standard"/>
    <w:link w:val="berschrift3Zchn"/>
    <w:uiPriority w:val="9"/>
    <w:qFormat/>
    <w:rsid w:val="002B6C19"/>
    <w:pPr>
      <w:keepNext/>
      <w:numPr>
        <w:numId w:val="13"/>
      </w:numPr>
      <w:suppressAutoHyphens/>
      <w:spacing w:before="360" w:after="240" w:line="240" w:lineRule="auto"/>
      <w:ind w:left="851" w:hanging="851"/>
      <w:jc w:val="left"/>
      <w:outlineLvl w:val="2"/>
    </w:pPr>
    <w:rPr>
      <w:rFonts w:asciiTheme="majorHAnsi" w:eastAsia="Times New Roman" w:hAnsiTheme="majorHAnsi"/>
      <w:b/>
      <w:bCs/>
      <w:sz w:val="34"/>
      <w:szCs w:val="27"/>
      <w:lang w:eastAsia="de-DE"/>
    </w:rPr>
  </w:style>
  <w:style w:type="paragraph" w:styleId="berschrift4">
    <w:name w:val="heading 4"/>
    <w:aliases w:val="a.b.c."/>
    <w:basedOn w:val="Standard"/>
    <w:next w:val="Standard"/>
    <w:link w:val="berschrift4Zchn"/>
    <w:uiPriority w:val="9"/>
    <w:unhideWhenUsed/>
    <w:qFormat/>
    <w:rsid w:val="00D26A12"/>
    <w:pPr>
      <w:keepNext/>
      <w:keepLines/>
      <w:numPr>
        <w:numId w:val="14"/>
      </w:numPr>
      <w:suppressAutoHyphens/>
      <w:spacing w:before="200" w:after="120"/>
      <w:ind w:left="851" w:hanging="851"/>
      <w:jc w:val="left"/>
      <w:outlineLvl w:val="3"/>
    </w:pPr>
    <w:rPr>
      <w:rFonts w:asciiTheme="majorHAnsi" w:eastAsiaTheme="majorEastAsia" w:hAnsiTheme="majorHAnsi" w:cstheme="majorBidi"/>
      <w:b/>
      <w:bCs/>
      <w:iCs/>
    </w:rPr>
  </w:style>
  <w:style w:type="paragraph" w:styleId="berschrift5">
    <w:name w:val="heading 5"/>
    <w:aliases w:val="_i,ii,iii"/>
    <w:basedOn w:val="Standard"/>
    <w:next w:val="Standard"/>
    <w:link w:val="berschrift5Zchn"/>
    <w:uiPriority w:val="9"/>
    <w:unhideWhenUsed/>
    <w:qFormat/>
    <w:rsid w:val="000D04D0"/>
    <w:pPr>
      <w:keepNext/>
      <w:keepLines/>
      <w:numPr>
        <w:numId w:val="19"/>
      </w:numPr>
      <w:suppressAutoHyphens/>
      <w:spacing w:before="200" w:after="120"/>
      <w:ind w:left="851" w:hanging="851"/>
      <w:jc w:val="left"/>
      <w:outlineLvl w:val="4"/>
    </w:pPr>
    <w:rPr>
      <w:rFonts w:asciiTheme="majorHAnsi" w:eastAsiaTheme="majorEastAsia" w:hAnsiTheme="majorHAnsi" w:cstheme="majorBidi"/>
      <w:b/>
    </w:rPr>
  </w:style>
  <w:style w:type="paragraph" w:styleId="berschrift6">
    <w:name w:val="heading 6"/>
    <w:aliases w:val="_(1)(2)(3)"/>
    <w:basedOn w:val="Standard"/>
    <w:next w:val="Standard"/>
    <w:link w:val="berschrift6Zchn"/>
    <w:uiPriority w:val="9"/>
    <w:unhideWhenUsed/>
    <w:qFormat/>
    <w:rsid w:val="00235C86"/>
    <w:pPr>
      <w:keepNext/>
      <w:keepLines/>
      <w:numPr>
        <w:numId w:val="33"/>
      </w:numPr>
      <w:spacing w:before="360"/>
      <w:ind w:left="851" w:hanging="851"/>
      <w:jc w:val="left"/>
      <w:outlineLvl w:val="5"/>
    </w:pPr>
    <w:rPr>
      <w:rFonts w:asciiTheme="majorHAnsi" w:eastAsiaTheme="majorEastAsia" w:hAnsiTheme="majorHAnsi" w:cstheme="majorBidi"/>
      <w:iCs/>
    </w:rPr>
  </w:style>
  <w:style w:type="paragraph" w:styleId="berschrift7">
    <w:name w:val="heading 7"/>
    <w:aliases w:val="ohneNr"/>
    <w:basedOn w:val="Standard"/>
    <w:next w:val="Standard"/>
    <w:link w:val="berschrift7Zchn"/>
    <w:uiPriority w:val="9"/>
    <w:unhideWhenUsed/>
    <w:qFormat/>
    <w:rsid w:val="00417FA2"/>
    <w:pPr>
      <w:keepNext/>
      <w:keepLines/>
      <w:spacing w:before="360"/>
      <w:jc w:val="left"/>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D563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8F479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berschrift">
    <w:name w:val="Tabellenüberschrift"/>
    <w:basedOn w:val="Bildunterschrift"/>
    <w:qFormat/>
    <w:rsid w:val="004F4C7B"/>
    <w:pPr>
      <w:spacing w:before="480" w:after="240"/>
    </w:pPr>
    <w:rPr>
      <w:b/>
    </w:rPr>
  </w:style>
  <w:style w:type="numbering" w:customStyle="1" w:styleId="ListentypDiss">
    <w:name w:val="Listentyp Diss"/>
    <w:uiPriority w:val="99"/>
    <w:rsid w:val="00B557EF"/>
    <w:pPr>
      <w:numPr>
        <w:numId w:val="2"/>
      </w:numPr>
    </w:pPr>
  </w:style>
  <w:style w:type="paragraph" w:styleId="Verzeichnis1">
    <w:name w:val="toc 1"/>
    <w:basedOn w:val="Standard"/>
    <w:next w:val="Standard"/>
    <w:autoRedefine/>
    <w:uiPriority w:val="39"/>
    <w:unhideWhenUsed/>
    <w:qFormat/>
    <w:rsid w:val="00D41150"/>
    <w:pPr>
      <w:tabs>
        <w:tab w:val="left" w:pos="454"/>
        <w:tab w:val="right" w:leader="dot" w:pos="8618"/>
      </w:tabs>
      <w:spacing w:before="200" w:after="0"/>
      <w:ind w:left="454" w:right="737" w:hanging="454"/>
      <w:jc w:val="left"/>
    </w:pPr>
    <w:rPr>
      <w:b/>
      <w:bCs/>
      <w:noProof/>
      <w:szCs w:val="24"/>
    </w:rPr>
  </w:style>
  <w:style w:type="paragraph" w:styleId="Verzeichnis2">
    <w:name w:val="toc 2"/>
    <w:basedOn w:val="Standard"/>
    <w:next w:val="Standard"/>
    <w:autoRedefine/>
    <w:uiPriority w:val="39"/>
    <w:unhideWhenUsed/>
    <w:qFormat/>
    <w:rsid w:val="00930235"/>
    <w:pPr>
      <w:tabs>
        <w:tab w:val="left" w:pos="560"/>
        <w:tab w:val="right" w:leader="dot" w:pos="8607"/>
      </w:tabs>
      <w:spacing w:after="0"/>
      <w:ind w:left="964" w:right="737" w:hanging="510"/>
      <w:jc w:val="left"/>
    </w:pPr>
    <w:rPr>
      <w:bCs/>
      <w:szCs w:val="20"/>
    </w:rPr>
  </w:style>
  <w:style w:type="character" w:styleId="Hyperlink">
    <w:name w:val="Hyperlink"/>
    <w:basedOn w:val="Absatz-Standardschriftart"/>
    <w:uiPriority w:val="99"/>
    <w:unhideWhenUsed/>
    <w:rsid w:val="000C1F0C"/>
    <w:rPr>
      <w:color w:val="0000FF" w:themeColor="hyperlink"/>
      <w:u w:val="single"/>
    </w:rPr>
  </w:style>
  <w:style w:type="paragraph" w:styleId="Verzeichnis3">
    <w:name w:val="toc 3"/>
    <w:basedOn w:val="Standard"/>
    <w:next w:val="Standard"/>
    <w:autoRedefine/>
    <w:uiPriority w:val="39"/>
    <w:unhideWhenUsed/>
    <w:qFormat/>
    <w:rsid w:val="00930235"/>
    <w:pPr>
      <w:tabs>
        <w:tab w:val="left" w:pos="840"/>
        <w:tab w:val="right" w:leader="dot" w:pos="8607"/>
      </w:tabs>
      <w:spacing w:after="0"/>
      <w:ind w:left="1361" w:right="737" w:hanging="397"/>
      <w:jc w:val="left"/>
    </w:pPr>
    <w:rPr>
      <w:szCs w:val="20"/>
    </w:rPr>
  </w:style>
  <w:style w:type="character" w:styleId="Funotenzeichen">
    <w:name w:val="footnote reference"/>
    <w:basedOn w:val="Absatz-Standardschriftart"/>
    <w:uiPriority w:val="99"/>
    <w:unhideWhenUsed/>
    <w:rsid w:val="005A5515"/>
    <w:rPr>
      <w:vertAlign w:val="superscript"/>
    </w:rPr>
  </w:style>
  <w:style w:type="paragraph" w:styleId="Sprechblasentext">
    <w:name w:val="Balloon Text"/>
    <w:basedOn w:val="Standard"/>
    <w:link w:val="SprechblasentextZchn"/>
    <w:uiPriority w:val="99"/>
    <w:semiHidden/>
    <w:unhideWhenUsed/>
    <w:rsid w:val="005A551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5515"/>
    <w:rPr>
      <w:rFonts w:ascii="Tahoma" w:hAnsi="Tahoma" w:cs="Tahoma"/>
      <w:sz w:val="16"/>
      <w:szCs w:val="16"/>
    </w:rPr>
  </w:style>
  <w:style w:type="paragraph" w:styleId="Kommentarthema">
    <w:name w:val="annotation subject"/>
    <w:basedOn w:val="Standard"/>
    <w:link w:val="KommentarthemaZchn"/>
    <w:uiPriority w:val="99"/>
    <w:semiHidden/>
    <w:unhideWhenUsed/>
    <w:rsid w:val="007F314D"/>
    <w:rPr>
      <w:b/>
      <w:bCs/>
    </w:rPr>
  </w:style>
  <w:style w:type="character" w:customStyle="1" w:styleId="KommentarthemaZchn">
    <w:name w:val="Kommentarthema Zchn"/>
    <w:basedOn w:val="Absatz-Standardschriftart"/>
    <w:link w:val="Kommentarthema"/>
    <w:uiPriority w:val="99"/>
    <w:semiHidden/>
    <w:rsid w:val="007F314D"/>
    <w:rPr>
      <w:rFonts w:ascii="Times New Roman" w:hAnsi="Times New Roman" w:cs="Times New Roman"/>
      <w:b/>
      <w:bCs/>
      <w:sz w:val="20"/>
      <w:szCs w:val="20"/>
    </w:rPr>
  </w:style>
  <w:style w:type="character" w:customStyle="1" w:styleId="berschrift3Zchn">
    <w:name w:val="Überschrift 3 Zchn"/>
    <w:aliases w:val="_1 Zchn,2 Zchn,3 Zchn"/>
    <w:basedOn w:val="Absatz-Standardschriftart"/>
    <w:link w:val="berschrift3"/>
    <w:uiPriority w:val="9"/>
    <w:rsid w:val="002B6C19"/>
    <w:rPr>
      <w:rFonts w:asciiTheme="majorHAnsi" w:eastAsia="Times New Roman" w:hAnsiTheme="majorHAnsi" w:cs="Times New Roman"/>
      <w:b/>
      <w:bCs/>
      <w:sz w:val="34"/>
      <w:szCs w:val="27"/>
      <w:lang w:eastAsia="de-DE"/>
    </w:rPr>
  </w:style>
  <w:style w:type="paragraph" w:styleId="berarbeitung">
    <w:name w:val="Revision"/>
    <w:hidden/>
    <w:uiPriority w:val="99"/>
    <w:semiHidden/>
    <w:rsid w:val="00B20C14"/>
    <w:pPr>
      <w:spacing w:after="0" w:line="240" w:lineRule="auto"/>
    </w:pPr>
    <w:rPr>
      <w:rFonts w:ascii="Times New Roman" w:hAnsi="Times New Roman" w:cs="Times New Roman"/>
      <w:sz w:val="24"/>
    </w:rPr>
  </w:style>
  <w:style w:type="table" w:styleId="Tabellenraster">
    <w:name w:val="Table Grid"/>
    <w:basedOn w:val="NormaleTabelle"/>
    <w:uiPriority w:val="59"/>
    <w:rsid w:val="003D75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eschriftung">
    <w:name w:val="caption"/>
    <w:basedOn w:val="Standard"/>
    <w:next w:val="Standard"/>
    <w:uiPriority w:val="35"/>
    <w:unhideWhenUsed/>
    <w:qFormat/>
    <w:rsid w:val="0085217B"/>
    <w:pPr>
      <w:spacing w:line="240" w:lineRule="auto"/>
    </w:pPr>
    <w:rPr>
      <w:b/>
      <w:bCs/>
      <w:sz w:val="18"/>
      <w:szCs w:val="18"/>
    </w:rPr>
  </w:style>
  <w:style w:type="paragraph" w:styleId="Kopfzeile">
    <w:name w:val="header"/>
    <w:basedOn w:val="Standard"/>
    <w:link w:val="KopfzeileZchn"/>
    <w:uiPriority w:val="99"/>
    <w:unhideWhenUsed/>
    <w:rsid w:val="000030C5"/>
    <w:pPr>
      <w:pBdr>
        <w:bottom w:val="single" w:sz="8" w:space="1" w:color="auto"/>
      </w:pBdr>
      <w:tabs>
        <w:tab w:val="center" w:pos="4536"/>
        <w:tab w:val="right" w:pos="9072"/>
      </w:tabs>
      <w:spacing w:after="0" w:line="240" w:lineRule="auto"/>
      <w:jc w:val="left"/>
    </w:pPr>
    <w:rPr>
      <w:sz w:val="24"/>
    </w:rPr>
  </w:style>
  <w:style w:type="character" w:customStyle="1" w:styleId="KopfzeileZchn">
    <w:name w:val="Kopfzeile Zchn"/>
    <w:basedOn w:val="Absatz-Standardschriftart"/>
    <w:link w:val="Kopfzeile"/>
    <w:uiPriority w:val="99"/>
    <w:rsid w:val="000030C5"/>
    <w:rPr>
      <w:rFonts w:ascii="Times New Roman" w:hAnsi="Times New Roman" w:cs="Times New Roman"/>
      <w:sz w:val="24"/>
    </w:rPr>
  </w:style>
  <w:style w:type="paragraph" w:styleId="Fuzeile">
    <w:name w:val="footer"/>
    <w:basedOn w:val="Standard"/>
    <w:link w:val="FuzeileZchn"/>
    <w:uiPriority w:val="99"/>
    <w:unhideWhenUsed/>
    <w:rsid w:val="003631F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31F5"/>
    <w:rPr>
      <w:rFonts w:ascii="Times New Roman" w:hAnsi="Times New Roman" w:cs="Times New Roman"/>
      <w:sz w:val="24"/>
    </w:rPr>
  </w:style>
  <w:style w:type="character" w:customStyle="1" w:styleId="berschrift1Zchn">
    <w:name w:val="Überschrift 1 Zchn"/>
    <w:aliases w:val="_A Zchn,B Zchn,C Zchn"/>
    <w:basedOn w:val="Absatz-Standardschriftart"/>
    <w:link w:val="berschrift1"/>
    <w:uiPriority w:val="9"/>
    <w:rsid w:val="002B6C19"/>
    <w:rPr>
      <w:rFonts w:asciiTheme="majorHAnsi" w:eastAsiaTheme="majorEastAsia" w:hAnsiTheme="majorHAnsi" w:cstheme="majorBidi"/>
      <w:b/>
      <w:bCs/>
      <w:sz w:val="50"/>
      <w:szCs w:val="28"/>
    </w:rPr>
  </w:style>
  <w:style w:type="character" w:customStyle="1" w:styleId="berschrift2Zchn">
    <w:name w:val="Überschrift 2 Zchn"/>
    <w:aliases w:val="_I Zchn,II Zchn,III Zchn"/>
    <w:basedOn w:val="Absatz-Standardschriftart"/>
    <w:link w:val="berschrift2"/>
    <w:uiPriority w:val="9"/>
    <w:rsid w:val="002B6C19"/>
    <w:rPr>
      <w:rFonts w:asciiTheme="majorHAnsi" w:eastAsiaTheme="majorEastAsia" w:hAnsiTheme="majorHAnsi" w:cstheme="majorBidi"/>
      <w:b/>
      <w:bCs/>
      <w:sz w:val="40"/>
      <w:szCs w:val="26"/>
    </w:rPr>
  </w:style>
  <w:style w:type="paragraph" w:styleId="KeinLeerraum">
    <w:name w:val="No Spacing"/>
    <w:uiPriority w:val="1"/>
    <w:qFormat/>
    <w:rsid w:val="00F03C62"/>
    <w:pPr>
      <w:spacing w:after="0" w:line="240" w:lineRule="auto"/>
    </w:pPr>
    <w:rPr>
      <w:rFonts w:ascii="Times New Roman" w:hAnsi="Times New Roman" w:cs="Times New Roman"/>
      <w:sz w:val="24"/>
    </w:rPr>
  </w:style>
  <w:style w:type="character" w:styleId="IntensiveHervorhebung">
    <w:name w:val="Intense Emphasis"/>
    <w:basedOn w:val="Absatz-Standardschriftart"/>
    <w:uiPriority w:val="21"/>
    <w:qFormat/>
    <w:rsid w:val="00F17FEB"/>
    <w:rPr>
      <w:b/>
      <w:bCs/>
      <w:i/>
      <w:iCs/>
      <w:color w:val="4F81BD" w:themeColor="accent1"/>
    </w:rPr>
  </w:style>
  <w:style w:type="character" w:styleId="BesuchterHyperlink">
    <w:name w:val="FollowedHyperlink"/>
    <w:basedOn w:val="Absatz-Standardschriftart"/>
    <w:uiPriority w:val="99"/>
    <w:semiHidden/>
    <w:unhideWhenUsed/>
    <w:rsid w:val="005103DE"/>
    <w:rPr>
      <w:color w:val="800080" w:themeColor="followedHyperlink"/>
      <w:u w:val="single"/>
    </w:rPr>
  </w:style>
  <w:style w:type="table" w:customStyle="1" w:styleId="Formatvorlage1">
    <w:name w:val="Formatvorlage1"/>
    <w:basedOn w:val="NormaleTabelle"/>
    <w:uiPriority w:val="99"/>
    <w:rsid w:val="008072A2"/>
    <w:pPr>
      <w:spacing w:after="0" w:line="240" w:lineRule="auto"/>
      <w:jc w:val="center"/>
    </w:pPr>
    <w:rPr>
      <w:rFonts w:ascii="Times New Roman" w:hAnsi="Times New Roman"/>
    </w:rPr>
    <w:tblPr/>
  </w:style>
  <w:style w:type="table" w:customStyle="1" w:styleId="TabelleDiss">
    <w:name w:val="Tabelle Diss"/>
    <w:basedOn w:val="TabelleElegant"/>
    <w:uiPriority w:val="99"/>
    <w:rsid w:val="008072A2"/>
    <w:pPr>
      <w:spacing w:after="0" w:line="240" w:lineRule="auto"/>
      <w:jc w:val="left"/>
    </w:pPr>
    <w:rPr>
      <w:rFonts w:ascii="Times New Roman" w:hAnsi="Times New Roman"/>
      <w:sz w:val="20"/>
      <w:szCs w:val="20"/>
      <w:lang w:val="en-GB" w:eastAsia="de-DE"/>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customStyle="1" w:styleId="TabelleDiss2">
    <w:name w:val="Tabelle Diss 2"/>
    <w:basedOn w:val="TabelleDiss"/>
    <w:uiPriority w:val="99"/>
    <w:rsid w:val="008072A2"/>
    <w:rPr>
      <w:sz w:val="24"/>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styleId="TabelleElegant">
    <w:name w:val="Table Elegant"/>
    <w:basedOn w:val="NormaleTabelle"/>
    <w:uiPriority w:val="99"/>
    <w:semiHidden/>
    <w:unhideWhenUsed/>
    <w:rsid w:val="008072A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Dokumentstruktur">
    <w:name w:val="Document Map"/>
    <w:basedOn w:val="Standard"/>
    <w:link w:val="DokumentstrukturZchn"/>
    <w:uiPriority w:val="99"/>
    <w:semiHidden/>
    <w:unhideWhenUsed/>
    <w:rsid w:val="000F4213"/>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0F4213"/>
    <w:rPr>
      <w:rFonts w:ascii="Tahoma" w:hAnsi="Tahoma" w:cs="Tahoma"/>
      <w:sz w:val="16"/>
      <w:szCs w:val="16"/>
    </w:rPr>
  </w:style>
  <w:style w:type="paragraph" w:styleId="Abbildungsverzeichnis">
    <w:name w:val="table of figures"/>
    <w:basedOn w:val="Standard"/>
    <w:next w:val="Standard"/>
    <w:uiPriority w:val="99"/>
    <w:unhideWhenUsed/>
    <w:rsid w:val="0060312D"/>
    <w:pPr>
      <w:spacing w:after="0"/>
    </w:pPr>
  </w:style>
  <w:style w:type="paragraph" w:styleId="Endnotentext">
    <w:name w:val="endnote text"/>
    <w:basedOn w:val="Standard"/>
    <w:link w:val="EndnotentextZchn"/>
    <w:uiPriority w:val="99"/>
    <w:semiHidden/>
    <w:unhideWhenUsed/>
    <w:rsid w:val="008C7908"/>
    <w:pPr>
      <w:spacing w:after="0" w:line="240" w:lineRule="auto"/>
    </w:pPr>
    <w:rPr>
      <w:sz w:val="20"/>
      <w:szCs w:val="20"/>
    </w:rPr>
  </w:style>
  <w:style w:type="character" w:customStyle="1" w:styleId="berschrift4Zchn">
    <w:name w:val="Überschrift 4 Zchn"/>
    <w:aliases w:val="a.b.c. Zchn"/>
    <w:basedOn w:val="Absatz-Standardschriftart"/>
    <w:link w:val="berschrift4"/>
    <w:uiPriority w:val="9"/>
    <w:rsid w:val="00D26A12"/>
    <w:rPr>
      <w:rFonts w:asciiTheme="majorHAnsi" w:eastAsiaTheme="majorEastAsia" w:hAnsiTheme="majorHAnsi" w:cstheme="majorBidi"/>
      <w:b/>
      <w:bCs/>
      <w:iCs/>
      <w:sz w:val="28"/>
    </w:rPr>
  </w:style>
  <w:style w:type="character" w:customStyle="1" w:styleId="berschrift5Zchn">
    <w:name w:val="Überschrift 5 Zchn"/>
    <w:aliases w:val="_i Zchn,ii Zchn,iii Zchn"/>
    <w:basedOn w:val="Absatz-Standardschriftart"/>
    <w:link w:val="berschrift5"/>
    <w:uiPriority w:val="9"/>
    <w:rsid w:val="000D04D0"/>
    <w:rPr>
      <w:rFonts w:asciiTheme="majorHAnsi" w:eastAsiaTheme="majorEastAsia" w:hAnsiTheme="majorHAnsi" w:cstheme="majorBidi"/>
      <w:b/>
      <w:sz w:val="28"/>
    </w:rPr>
  </w:style>
  <w:style w:type="character" w:customStyle="1" w:styleId="berschrift6Zchn">
    <w:name w:val="Überschrift 6 Zchn"/>
    <w:aliases w:val="_(1)(2)(3) Zchn"/>
    <w:basedOn w:val="Absatz-Standardschriftart"/>
    <w:link w:val="berschrift6"/>
    <w:uiPriority w:val="9"/>
    <w:rsid w:val="00235C86"/>
    <w:rPr>
      <w:rFonts w:asciiTheme="majorHAnsi" w:eastAsiaTheme="majorEastAsia" w:hAnsiTheme="majorHAnsi" w:cstheme="majorBidi"/>
      <w:iCs/>
      <w:sz w:val="28"/>
    </w:rPr>
  </w:style>
  <w:style w:type="character" w:customStyle="1" w:styleId="berschrift7Zchn">
    <w:name w:val="Überschrift 7 Zchn"/>
    <w:aliases w:val="ohneNr Zchn"/>
    <w:basedOn w:val="Absatz-Standardschriftart"/>
    <w:link w:val="berschrift7"/>
    <w:uiPriority w:val="9"/>
    <w:rsid w:val="00417FA2"/>
    <w:rPr>
      <w:rFonts w:asciiTheme="majorHAnsi" w:eastAsiaTheme="majorEastAsia" w:hAnsiTheme="majorHAnsi" w:cstheme="majorBidi"/>
      <w:i/>
      <w:iCs/>
      <w:color w:val="404040" w:themeColor="text1" w:themeTint="BF"/>
      <w:sz w:val="28"/>
    </w:rPr>
  </w:style>
  <w:style w:type="character" w:customStyle="1" w:styleId="berschrift8Zchn">
    <w:name w:val="Überschrift 8 Zchn"/>
    <w:basedOn w:val="Absatz-Standardschriftart"/>
    <w:link w:val="berschrift8"/>
    <w:uiPriority w:val="9"/>
    <w:semiHidden/>
    <w:rsid w:val="00FD5634"/>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8F4791"/>
    <w:rPr>
      <w:rFonts w:asciiTheme="majorHAnsi" w:eastAsiaTheme="majorEastAsia" w:hAnsiTheme="majorHAnsi" w:cstheme="majorBidi"/>
      <w:i/>
      <w:iCs/>
      <w:color w:val="404040" w:themeColor="text1" w:themeTint="BF"/>
      <w:sz w:val="20"/>
      <w:szCs w:val="20"/>
    </w:rPr>
  </w:style>
  <w:style w:type="character" w:customStyle="1" w:styleId="EndnotentextZchn">
    <w:name w:val="Endnotentext Zchn"/>
    <w:basedOn w:val="Absatz-Standardschriftart"/>
    <w:link w:val="Endnotentext"/>
    <w:uiPriority w:val="99"/>
    <w:semiHidden/>
    <w:rsid w:val="008C7908"/>
    <w:rPr>
      <w:rFonts w:ascii="Times New Roman" w:hAnsi="Times New Roman" w:cs="Times New Roman"/>
      <w:sz w:val="20"/>
      <w:szCs w:val="20"/>
    </w:rPr>
  </w:style>
  <w:style w:type="character" w:styleId="Endnotenzeichen">
    <w:name w:val="endnote reference"/>
    <w:basedOn w:val="Absatz-Standardschriftart"/>
    <w:uiPriority w:val="99"/>
    <w:semiHidden/>
    <w:unhideWhenUsed/>
    <w:rsid w:val="008C7908"/>
    <w:rPr>
      <w:vertAlign w:val="superscript"/>
    </w:rPr>
  </w:style>
  <w:style w:type="table" w:customStyle="1" w:styleId="DissTabelle2">
    <w:name w:val="DissTabelle2"/>
    <w:basedOn w:val="NormaleTabelle"/>
    <w:uiPriority w:val="64"/>
    <w:rsid w:val="008202D8"/>
    <w:pPr>
      <w:keepNext/>
      <w:spacing w:after="0" w:line="240" w:lineRule="auto"/>
      <w:jc w:val="center"/>
    </w:pPr>
    <w:rPr>
      <w:rFonts w:ascii="Times New Roman" w:hAnsi="Times New Roman"/>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spacing w:before="0" w:after="0" w:line="240" w:lineRule="auto"/>
      </w:pPr>
      <w:rPr>
        <w:rFonts w:ascii="Times New Roman" w:hAnsi="Times New Roman"/>
        <w:b/>
        <w:bCs/>
        <w:color w:val="auto"/>
        <w:sz w:val="24"/>
      </w:rPr>
      <w:tblPr/>
      <w:tcPr>
        <w:shd w:val="clear" w:color="auto" w:fill="A6A6A6" w:themeFill="background1" w:themeFillShade="A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rFonts w:ascii="Times New Roman" w:hAnsi="Times New Roman"/>
        <w:b/>
        <w:bCs/>
        <w:color w:val="auto"/>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6A6A6" w:themeFill="background1" w:themeFillShade="A6"/>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4E155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DissTabelle">
    <w:name w:val="DissTabelle"/>
    <w:basedOn w:val="NormaleTabelle"/>
    <w:uiPriority w:val="99"/>
    <w:rsid w:val="00D535D1"/>
    <w:pPr>
      <w:widowControl w:val="0"/>
      <w:spacing w:after="0" w:line="240" w:lineRule="auto"/>
      <w:jc w:val="center"/>
    </w:pPr>
    <w:rPr>
      <w:rFonts w:ascii="Times New Roman" w:hAnsi="Times New Roman"/>
      <w:sz w:val="24"/>
    </w:rPr>
    <w:tblPr>
      <w:tblStyleRowBandSize w:val="1"/>
      <w:tblBorders>
        <w:top w:val="single" w:sz="4" w:space="0" w:color="auto"/>
        <w:left w:val="single" w:sz="4" w:space="0" w:color="auto"/>
        <w:bottom w:val="single" w:sz="4" w:space="0" w:color="auto"/>
        <w:right w:val="single" w:sz="4" w:space="0" w:color="auto"/>
        <w:insideH w:val="single" w:sz="4" w:space="0" w:color="auto"/>
      </w:tblBorders>
      <w:tblCellMar>
        <w:top w:w="170" w:type="dxa"/>
        <w:bottom w:w="142" w:type="dxa"/>
      </w:tblCellMar>
    </w:tblPr>
    <w:tcPr>
      <w:shd w:val="solid" w:color="auto" w:fill="000000" w:themeFill="text1"/>
      <w:vAlign w:val="center"/>
    </w:tcPr>
    <w:tblStylePr w:type="firstRow">
      <w:pPr>
        <w:keepNext/>
        <w:keepLines w:val="0"/>
        <w:pageBreakBefore w:val="0"/>
        <w:widowControl w:val="0"/>
        <w:suppressLineNumbers w:val="0"/>
        <w:suppressAutoHyphens w:val="0"/>
        <w:wordWrap/>
      </w:pPr>
      <w:rPr>
        <w:rFonts w:ascii="Times New Roman" w:hAnsi="Times New Roman"/>
        <w:b w:val="0"/>
        <w:sz w:val="24"/>
      </w:rPr>
    </w:tblStylePr>
    <w:tblStylePr w:type="firstCol">
      <w:rPr>
        <w:rFonts w:ascii="Times New Roman" w:hAnsi="Times New Roman"/>
        <w:b w:val="0"/>
        <w:sz w:val="24"/>
      </w:rPr>
    </w:tblStylePr>
    <w:tblStylePr w:type="band1Horz">
      <w:rPr>
        <w:rFonts w:ascii="Times New Roman" w:hAnsi="Times New Roman"/>
        <w:sz w:val="24"/>
      </w:rPr>
      <w:tblPr/>
      <w:tcPr>
        <w:shd w:val="clear" w:color="auto" w:fill="808080" w:themeFill="background1" w:themeFillShade="80"/>
      </w:tcPr>
    </w:tblStylePr>
    <w:tblStylePr w:type="band2Horz">
      <w:rPr>
        <w:rFonts w:ascii="Times New Roman" w:hAnsi="Times New Roman"/>
        <w:sz w:val="24"/>
      </w:rPr>
      <w:tblPr/>
      <w:tcPr>
        <w:shd w:val="clear" w:color="auto" w:fill="BFBFBF" w:themeFill="background1" w:themeFillShade="BF"/>
      </w:tcPr>
    </w:tblStylePr>
  </w:style>
  <w:style w:type="table" w:customStyle="1" w:styleId="MittlereSchattierung21">
    <w:name w:val="Mittlere Schattierung 21"/>
    <w:basedOn w:val="NormaleTabelle"/>
    <w:uiPriority w:val="64"/>
    <w:rsid w:val="00833FEE"/>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iteraturverzeichnis">
    <w:name w:val="Bibliography"/>
    <w:basedOn w:val="Standard"/>
    <w:next w:val="Standard"/>
    <w:uiPriority w:val="37"/>
    <w:unhideWhenUsed/>
    <w:rsid w:val="00ED1A63"/>
    <w:pPr>
      <w:keepLines/>
      <w:ind w:left="567" w:hanging="567"/>
      <w:jc w:val="left"/>
    </w:pPr>
  </w:style>
  <w:style w:type="paragraph" w:customStyle="1" w:styleId="Funote">
    <w:name w:val="Fußnote"/>
    <w:basedOn w:val="Standard"/>
    <w:link w:val="FunoteZchn"/>
    <w:qFormat/>
    <w:rsid w:val="007F314D"/>
    <w:pPr>
      <w:keepLines/>
      <w:tabs>
        <w:tab w:val="left" w:pos="397"/>
      </w:tabs>
      <w:spacing w:after="0"/>
      <w:ind w:left="397" w:hanging="397"/>
    </w:pPr>
    <w:rPr>
      <w:sz w:val="24"/>
      <w:szCs w:val="20"/>
    </w:rPr>
  </w:style>
  <w:style w:type="character" w:customStyle="1" w:styleId="FunoteZchn">
    <w:name w:val="Fußnote Zchn"/>
    <w:basedOn w:val="Absatz-Standardschriftart"/>
    <w:link w:val="Funote"/>
    <w:rsid w:val="007F314D"/>
    <w:rPr>
      <w:rFonts w:ascii="Times New Roman" w:hAnsi="Times New Roman" w:cs="Times New Roman"/>
      <w:sz w:val="24"/>
      <w:szCs w:val="20"/>
    </w:rPr>
  </w:style>
  <w:style w:type="paragraph" w:customStyle="1" w:styleId="berschrift1Teil">
    <w:name w:val="Überschrift 1 &quot;Teil&quot;"/>
    <w:basedOn w:val="Standard"/>
    <w:qFormat/>
    <w:rsid w:val="005D5DB3"/>
    <w:pPr>
      <w:keepLines/>
      <w:pageBreakBefore/>
      <w:pBdr>
        <w:top w:val="single" w:sz="8" w:space="1" w:color="auto"/>
        <w:bottom w:val="single" w:sz="8" w:space="1" w:color="auto"/>
      </w:pBdr>
      <w:suppressAutoHyphens/>
      <w:spacing w:before="600" w:after="720" w:line="240" w:lineRule="auto"/>
      <w:jc w:val="center"/>
      <w:outlineLvl w:val="0"/>
    </w:pPr>
    <w:rPr>
      <w:rFonts w:asciiTheme="majorHAnsi" w:eastAsiaTheme="majorEastAsia" w:hAnsiTheme="majorHAnsi" w:cstheme="majorBidi"/>
      <w:b/>
      <w:bCs/>
      <w:sz w:val="50"/>
      <w:szCs w:val="28"/>
    </w:rPr>
  </w:style>
  <w:style w:type="paragraph" w:customStyle="1" w:styleId="Bildunterschrift">
    <w:name w:val="Bildunterschrift"/>
    <w:basedOn w:val="Standard"/>
    <w:qFormat/>
    <w:rsid w:val="00F91B0D"/>
    <w:pPr>
      <w:spacing w:before="240" w:after="480" w:line="240" w:lineRule="auto"/>
      <w:jc w:val="left"/>
    </w:pPr>
    <w:rPr>
      <w:bCs/>
      <w:sz w:val="24"/>
      <w:szCs w:val="23"/>
    </w:rPr>
  </w:style>
  <w:style w:type="paragraph" w:customStyle="1" w:styleId="Abbildung">
    <w:name w:val="Abbildung"/>
    <w:basedOn w:val="Standard"/>
    <w:qFormat/>
    <w:rsid w:val="00F91B0D"/>
    <w:pPr>
      <w:keepNext/>
      <w:spacing w:before="480" w:after="120" w:line="240" w:lineRule="auto"/>
      <w:jc w:val="left"/>
    </w:pPr>
    <w:rPr>
      <w:noProof/>
      <w:lang w:eastAsia="de-DE"/>
    </w:rPr>
  </w:style>
  <w:style w:type="paragraph" w:customStyle="1" w:styleId="berschrift1ohneNummer">
    <w:name w:val="Überschrift 1 ohne Nummer"/>
    <w:basedOn w:val="berschrift1Teil"/>
    <w:qFormat/>
    <w:rsid w:val="00EF64F5"/>
    <w:pPr>
      <w:pBdr>
        <w:top w:val="none" w:sz="0" w:space="0" w:color="auto"/>
        <w:bottom w:val="none" w:sz="0" w:space="0" w:color="auto"/>
      </w:pBdr>
      <w:jc w:val="left"/>
    </w:pPr>
    <w:rPr>
      <w:lang w:val="en-GB"/>
    </w:rPr>
  </w:style>
  <w:style w:type="paragraph" w:customStyle="1" w:styleId="Seitenzahlrechts">
    <w:name w:val="Seitenzahl rechts"/>
    <w:basedOn w:val="Fuzeile"/>
    <w:qFormat/>
    <w:rsid w:val="00F8546B"/>
    <w:pPr>
      <w:jc w:val="right"/>
    </w:pPr>
  </w:style>
  <w:style w:type="paragraph" w:customStyle="1" w:styleId="Verzeichnis1-Part">
    <w:name w:val="Verzeichnis 1 - Part"/>
    <w:qFormat/>
    <w:rsid w:val="00900B4D"/>
    <w:pPr>
      <w:pBdr>
        <w:top w:val="single" w:sz="8" w:space="1" w:color="auto"/>
        <w:bottom w:val="single" w:sz="8" w:space="1" w:color="auto"/>
      </w:pBdr>
      <w:tabs>
        <w:tab w:val="right" w:pos="8618"/>
      </w:tabs>
      <w:spacing w:before="360"/>
    </w:pPr>
    <w:rPr>
      <w:rFonts w:ascii="Times New Roman" w:hAnsi="Times New Roman" w:cs="Times New Roman"/>
      <w:b/>
      <w:bCs/>
      <w:noProof/>
      <w:sz w:val="28"/>
      <w:szCs w:val="24"/>
    </w:rPr>
  </w:style>
  <w:style w:type="paragraph" w:customStyle="1" w:styleId="Abkrzungsverzeichnis">
    <w:name w:val="Abkürzungsverzeichnis"/>
    <w:basedOn w:val="Standard"/>
    <w:qFormat/>
    <w:rsid w:val="0069255D"/>
    <w:pPr>
      <w:suppressAutoHyphens/>
      <w:ind w:left="2268" w:hanging="2268"/>
      <w:jc w:val="left"/>
    </w:pPr>
    <w:rPr>
      <w:szCs w:val="28"/>
    </w:rPr>
  </w:style>
  <w:style w:type="paragraph" w:customStyle="1" w:styleId="Kopfzeilerechts">
    <w:name w:val="Kopfzeile rechts"/>
    <w:basedOn w:val="Kopfzeile"/>
    <w:qFormat/>
    <w:rsid w:val="000030C5"/>
    <w:pPr>
      <w:pBdr>
        <w:between w:val="single" w:sz="4" w:space="1" w:color="4F81BD" w:themeColor="accent1"/>
      </w:pBdr>
      <w:tabs>
        <w:tab w:val="left" w:pos="3724"/>
      </w:tabs>
      <w:spacing w:line="276" w:lineRule="auto"/>
      <w:jc w:val="right"/>
    </w:pPr>
    <w:rPr>
      <w:noProof/>
    </w:rPr>
  </w:style>
  <w:style w:type="paragraph" w:customStyle="1" w:styleId="Aufzhlung">
    <w:name w:val="Aufzählung"/>
    <w:basedOn w:val="Standard"/>
    <w:qFormat/>
    <w:rsid w:val="005D5DB3"/>
    <w:pPr>
      <w:numPr>
        <w:numId w:val="8"/>
      </w:numPr>
      <w:tabs>
        <w:tab w:val="left" w:pos="851"/>
      </w:tabs>
      <w:ind w:left="850" w:hanging="51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Calibri" w:hAnsiTheme="minorHAnsi" w:cstheme="minorBidi"/>
        <w:sz w:val="22"/>
        <w:szCs w:val="22"/>
        <w:lang w:val="de-DE"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F314D"/>
    <w:pPr>
      <w:spacing w:line="288" w:lineRule="auto"/>
    </w:pPr>
    <w:rPr>
      <w:rFonts w:ascii="Times New Roman" w:hAnsi="Times New Roman" w:cs="Times New Roman"/>
      <w:sz w:val="28"/>
    </w:rPr>
  </w:style>
  <w:style w:type="paragraph" w:styleId="berschrift1">
    <w:name w:val="heading 1"/>
    <w:aliases w:val="_A,B,C"/>
    <w:basedOn w:val="Standard"/>
    <w:next w:val="Standard"/>
    <w:link w:val="berschrift1Zchn"/>
    <w:uiPriority w:val="9"/>
    <w:qFormat/>
    <w:rsid w:val="002B6C19"/>
    <w:pPr>
      <w:keepNext/>
      <w:keepLines/>
      <w:pageBreakBefore/>
      <w:numPr>
        <w:numId w:val="9"/>
      </w:numPr>
      <w:suppressAutoHyphens/>
      <w:spacing w:before="240" w:after="600" w:line="240" w:lineRule="auto"/>
      <w:ind w:left="851" w:hanging="851"/>
      <w:jc w:val="left"/>
      <w:outlineLvl w:val="0"/>
    </w:pPr>
    <w:rPr>
      <w:rFonts w:asciiTheme="majorHAnsi" w:eastAsiaTheme="majorEastAsia" w:hAnsiTheme="majorHAnsi" w:cstheme="majorBidi"/>
      <w:b/>
      <w:bCs/>
      <w:sz w:val="50"/>
      <w:szCs w:val="28"/>
    </w:rPr>
  </w:style>
  <w:style w:type="paragraph" w:styleId="berschrift2">
    <w:name w:val="heading 2"/>
    <w:aliases w:val="_I,II,III"/>
    <w:basedOn w:val="Standard"/>
    <w:next w:val="Standard"/>
    <w:link w:val="berschrift2Zchn"/>
    <w:uiPriority w:val="9"/>
    <w:unhideWhenUsed/>
    <w:qFormat/>
    <w:rsid w:val="002B6C19"/>
    <w:pPr>
      <w:keepNext/>
      <w:keepLines/>
      <w:numPr>
        <w:numId w:val="10"/>
      </w:numPr>
      <w:suppressAutoHyphens/>
      <w:spacing w:before="480" w:after="240" w:line="240" w:lineRule="auto"/>
      <w:ind w:left="1021" w:hanging="851"/>
      <w:jc w:val="left"/>
      <w:outlineLvl w:val="1"/>
    </w:pPr>
    <w:rPr>
      <w:rFonts w:asciiTheme="majorHAnsi" w:eastAsiaTheme="majorEastAsia" w:hAnsiTheme="majorHAnsi" w:cstheme="majorBidi"/>
      <w:b/>
      <w:bCs/>
      <w:sz w:val="40"/>
      <w:szCs w:val="26"/>
    </w:rPr>
  </w:style>
  <w:style w:type="paragraph" w:styleId="berschrift3">
    <w:name w:val="heading 3"/>
    <w:aliases w:val="_1,2,3"/>
    <w:basedOn w:val="Standard"/>
    <w:link w:val="berschrift3Zchn"/>
    <w:uiPriority w:val="9"/>
    <w:qFormat/>
    <w:rsid w:val="002B6C19"/>
    <w:pPr>
      <w:keepNext/>
      <w:numPr>
        <w:numId w:val="13"/>
      </w:numPr>
      <w:suppressAutoHyphens/>
      <w:spacing w:before="360" w:after="240" w:line="240" w:lineRule="auto"/>
      <w:ind w:left="851" w:hanging="851"/>
      <w:jc w:val="left"/>
      <w:outlineLvl w:val="2"/>
    </w:pPr>
    <w:rPr>
      <w:rFonts w:asciiTheme="majorHAnsi" w:eastAsia="Times New Roman" w:hAnsiTheme="majorHAnsi"/>
      <w:b/>
      <w:bCs/>
      <w:sz w:val="34"/>
      <w:szCs w:val="27"/>
      <w:lang w:eastAsia="de-DE"/>
    </w:rPr>
  </w:style>
  <w:style w:type="paragraph" w:styleId="berschrift4">
    <w:name w:val="heading 4"/>
    <w:aliases w:val="a.b.c."/>
    <w:basedOn w:val="Standard"/>
    <w:next w:val="Standard"/>
    <w:link w:val="berschrift4Zchn"/>
    <w:uiPriority w:val="9"/>
    <w:unhideWhenUsed/>
    <w:qFormat/>
    <w:rsid w:val="00D26A12"/>
    <w:pPr>
      <w:keepNext/>
      <w:keepLines/>
      <w:numPr>
        <w:numId w:val="14"/>
      </w:numPr>
      <w:suppressAutoHyphens/>
      <w:spacing w:before="200" w:after="120"/>
      <w:ind w:left="851" w:hanging="851"/>
      <w:jc w:val="left"/>
      <w:outlineLvl w:val="3"/>
    </w:pPr>
    <w:rPr>
      <w:rFonts w:asciiTheme="majorHAnsi" w:eastAsiaTheme="majorEastAsia" w:hAnsiTheme="majorHAnsi" w:cstheme="majorBidi"/>
      <w:b/>
      <w:bCs/>
      <w:iCs/>
    </w:rPr>
  </w:style>
  <w:style w:type="paragraph" w:styleId="berschrift5">
    <w:name w:val="heading 5"/>
    <w:aliases w:val="_i,ii,iii"/>
    <w:basedOn w:val="Standard"/>
    <w:next w:val="Standard"/>
    <w:link w:val="berschrift5Zchn"/>
    <w:uiPriority w:val="9"/>
    <w:unhideWhenUsed/>
    <w:qFormat/>
    <w:rsid w:val="000D04D0"/>
    <w:pPr>
      <w:keepNext/>
      <w:keepLines/>
      <w:numPr>
        <w:numId w:val="19"/>
      </w:numPr>
      <w:suppressAutoHyphens/>
      <w:spacing w:before="200" w:after="120"/>
      <w:ind w:left="851" w:hanging="851"/>
      <w:jc w:val="left"/>
      <w:outlineLvl w:val="4"/>
    </w:pPr>
    <w:rPr>
      <w:rFonts w:asciiTheme="majorHAnsi" w:eastAsiaTheme="majorEastAsia" w:hAnsiTheme="majorHAnsi" w:cstheme="majorBidi"/>
      <w:b/>
    </w:rPr>
  </w:style>
  <w:style w:type="paragraph" w:styleId="berschrift6">
    <w:name w:val="heading 6"/>
    <w:aliases w:val="_(1)(2)(3)"/>
    <w:basedOn w:val="Standard"/>
    <w:next w:val="Standard"/>
    <w:link w:val="berschrift6Zchn"/>
    <w:uiPriority w:val="9"/>
    <w:unhideWhenUsed/>
    <w:qFormat/>
    <w:rsid w:val="00235C86"/>
    <w:pPr>
      <w:keepNext/>
      <w:keepLines/>
      <w:numPr>
        <w:numId w:val="33"/>
      </w:numPr>
      <w:spacing w:before="360"/>
      <w:ind w:left="851" w:hanging="851"/>
      <w:jc w:val="left"/>
      <w:outlineLvl w:val="5"/>
    </w:pPr>
    <w:rPr>
      <w:rFonts w:asciiTheme="majorHAnsi" w:eastAsiaTheme="majorEastAsia" w:hAnsiTheme="majorHAnsi" w:cstheme="majorBidi"/>
      <w:iCs/>
    </w:rPr>
  </w:style>
  <w:style w:type="paragraph" w:styleId="berschrift7">
    <w:name w:val="heading 7"/>
    <w:aliases w:val="ohneNr"/>
    <w:basedOn w:val="Standard"/>
    <w:next w:val="Standard"/>
    <w:link w:val="berschrift7Zchn"/>
    <w:uiPriority w:val="9"/>
    <w:unhideWhenUsed/>
    <w:qFormat/>
    <w:rsid w:val="00417FA2"/>
    <w:pPr>
      <w:keepNext/>
      <w:keepLines/>
      <w:spacing w:before="360"/>
      <w:jc w:val="left"/>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D563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8F479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berschrift">
    <w:name w:val="Tabellenüberschrift"/>
    <w:basedOn w:val="Bildunterschrift"/>
    <w:qFormat/>
    <w:rsid w:val="004F4C7B"/>
    <w:pPr>
      <w:spacing w:before="480" w:after="240"/>
    </w:pPr>
    <w:rPr>
      <w:b/>
    </w:rPr>
  </w:style>
  <w:style w:type="numbering" w:customStyle="1" w:styleId="ListentypDiss">
    <w:name w:val="Listentyp Diss"/>
    <w:uiPriority w:val="99"/>
    <w:rsid w:val="00B557EF"/>
    <w:pPr>
      <w:numPr>
        <w:numId w:val="2"/>
      </w:numPr>
    </w:pPr>
  </w:style>
  <w:style w:type="paragraph" w:styleId="Verzeichnis1">
    <w:name w:val="toc 1"/>
    <w:basedOn w:val="Standard"/>
    <w:next w:val="Standard"/>
    <w:autoRedefine/>
    <w:uiPriority w:val="39"/>
    <w:unhideWhenUsed/>
    <w:qFormat/>
    <w:rsid w:val="00D41150"/>
    <w:pPr>
      <w:tabs>
        <w:tab w:val="left" w:pos="454"/>
        <w:tab w:val="right" w:leader="dot" w:pos="8618"/>
      </w:tabs>
      <w:spacing w:before="200" w:after="0"/>
      <w:ind w:left="454" w:right="737" w:hanging="454"/>
      <w:jc w:val="left"/>
    </w:pPr>
    <w:rPr>
      <w:b/>
      <w:bCs/>
      <w:noProof/>
      <w:szCs w:val="24"/>
    </w:rPr>
  </w:style>
  <w:style w:type="paragraph" w:styleId="Verzeichnis2">
    <w:name w:val="toc 2"/>
    <w:basedOn w:val="Standard"/>
    <w:next w:val="Standard"/>
    <w:autoRedefine/>
    <w:uiPriority w:val="39"/>
    <w:unhideWhenUsed/>
    <w:qFormat/>
    <w:rsid w:val="00930235"/>
    <w:pPr>
      <w:tabs>
        <w:tab w:val="left" w:pos="560"/>
        <w:tab w:val="right" w:leader="dot" w:pos="8607"/>
      </w:tabs>
      <w:spacing w:after="0"/>
      <w:ind w:left="964" w:right="737" w:hanging="510"/>
      <w:jc w:val="left"/>
    </w:pPr>
    <w:rPr>
      <w:bCs/>
      <w:szCs w:val="20"/>
    </w:rPr>
  </w:style>
  <w:style w:type="character" w:styleId="Hyperlink">
    <w:name w:val="Hyperlink"/>
    <w:basedOn w:val="Absatz-Standardschriftart"/>
    <w:uiPriority w:val="99"/>
    <w:unhideWhenUsed/>
    <w:rsid w:val="000C1F0C"/>
    <w:rPr>
      <w:color w:val="0000FF" w:themeColor="hyperlink"/>
      <w:u w:val="single"/>
    </w:rPr>
  </w:style>
  <w:style w:type="paragraph" w:styleId="Verzeichnis3">
    <w:name w:val="toc 3"/>
    <w:basedOn w:val="Standard"/>
    <w:next w:val="Standard"/>
    <w:autoRedefine/>
    <w:uiPriority w:val="39"/>
    <w:unhideWhenUsed/>
    <w:qFormat/>
    <w:rsid w:val="00930235"/>
    <w:pPr>
      <w:tabs>
        <w:tab w:val="left" w:pos="840"/>
        <w:tab w:val="right" w:leader="dot" w:pos="8607"/>
      </w:tabs>
      <w:spacing w:after="0"/>
      <w:ind w:left="1361" w:right="737" w:hanging="397"/>
      <w:jc w:val="left"/>
    </w:pPr>
    <w:rPr>
      <w:szCs w:val="20"/>
    </w:rPr>
  </w:style>
  <w:style w:type="character" w:styleId="Funotenzeichen">
    <w:name w:val="footnote reference"/>
    <w:basedOn w:val="Absatz-Standardschriftart"/>
    <w:uiPriority w:val="99"/>
    <w:unhideWhenUsed/>
    <w:rsid w:val="005A5515"/>
    <w:rPr>
      <w:vertAlign w:val="superscript"/>
    </w:rPr>
  </w:style>
  <w:style w:type="paragraph" w:styleId="Sprechblasentext">
    <w:name w:val="Balloon Text"/>
    <w:basedOn w:val="Standard"/>
    <w:link w:val="SprechblasentextZchn"/>
    <w:uiPriority w:val="99"/>
    <w:semiHidden/>
    <w:unhideWhenUsed/>
    <w:rsid w:val="005A551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5515"/>
    <w:rPr>
      <w:rFonts w:ascii="Tahoma" w:hAnsi="Tahoma" w:cs="Tahoma"/>
      <w:sz w:val="16"/>
      <w:szCs w:val="16"/>
    </w:rPr>
  </w:style>
  <w:style w:type="paragraph" w:styleId="Kommentarthema">
    <w:name w:val="annotation subject"/>
    <w:basedOn w:val="Standard"/>
    <w:link w:val="KommentarthemaZchn"/>
    <w:uiPriority w:val="99"/>
    <w:semiHidden/>
    <w:unhideWhenUsed/>
    <w:rsid w:val="007F314D"/>
    <w:rPr>
      <w:b/>
      <w:bCs/>
    </w:rPr>
  </w:style>
  <w:style w:type="character" w:customStyle="1" w:styleId="KommentarthemaZchn">
    <w:name w:val="Kommentarthema Zchn"/>
    <w:basedOn w:val="Absatz-Standardschriftart"/>
    <w:link w:val="Kommentarthema"/>
    <w:uiPriority w:val="99"/>
    <w:semiHidden/>
    <w:rsid w:val="007F314D"/>
    <w:rPr>
      <w:rFonts w:ascii="Times New Roman" w:hAnsi="Times New Roman" w:cs="Times New Roman"/>
      <w:b/>
      <w:bCs/>
      <w:sz w:val="20"/>
      <w:szCs w:val="20"/>
    </w:rPr>
  </w:style>
  <w:style w:type="character" w:customStyle="1" w:styleId="berschrift3Zchn">
    <w:name w:val="Überschrift 3 Zchn"/>
    <w:aliases w:val="_1 Zchn,2 Zchn,3 Zchn"/>
    <w:basedOn w:val="Absatz-Standardschriftart"/>
    <w:link w:val="berschrift3"/>
    <w:uiPriority w:val="9"/>
    <w:rsid w:val="002B6C19"/>
    <w:rPr>
      <w:rFonts w:asciiTheme="majorHAnsi" w:eastAsia="Times New Roman" w:hAnsiTheme="majorHAnsi" w:cs="Times New Roman"/>
      <w:b/>
      <w:bCs/>
      <w:sz w:val="34"/>
      <w:szCs w:val="27"/>
      <w:lang w:eastAsia="de-DE"/>
    </w:rPr>
  </w:style>
  <w:style w:type="paragraph" w:styleId="berarbeitung">
    <w:name w:val="Revision"/>
    <w:hidden/>
    <w:uiPriority w:val="99"/>
    <w:semiHidden/>
    <w:rsid w:val="00B20C14"/>
    <w:pPr>
      <w:spacing w:after="0" w:line="240" w:lineRule="auto"/>
    </w:pPr>
    <w:rPr>
      <w:rFonts w:ascii="Times New Roman" w:hAnsi="Times New Roman" w:cs="Times New Roman"/>
      <w:sz w:val="24"/>
    </w:rPr>
  </w:style>
  <w:style w:type="table" w:styleId="Tabellenraster">
    <w:name w:val="Table Grid"/>
    <w:basedOn w:val="NormaleTabelle"/>
    <w:uiPriority w:val="59"/>
    <w:rsid w:val="003D75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eschriftung">
    <w:name w:val="caption"/>
    <w:basedOn w:val="Standard"/>
    <w:next w:val="Standard"/>
    <w:uiPriority w:val="35"/>
    <w:unhideWhenUsed/>
    <w:qFormat/>
    <w:rsid w:val="0085217B"/>
    <w:pPr>
      <w:spacing w:line="240" w:lineRule="auto"/>
    </w:pPr>
    <w:rPr>
      <w:b/>
      <w:bCs/>
      <w:sz w:val="18"/>
      <w:szCs w:val="18"/>
    </w:rPr>
  </w:style>
  <w:style w:type="paragraph" w:styleId="Kopfzeile">
    <w:name w:val="header"/>
    <w:basedOn w:val="Standard"/>
    <w:link w:val="KopfzeileZchn"/>
    <w:uiPriority w:val="99"/>
    <w:unhideWhenUsed/>
    <w:rsid w:val="000030C5"/>
    <w:pPr>
      <w:pBdr>
        <w:bottom w:val="single" w:sz="8" w:space="1" w:color="auto"/>
      </w:pBdr>
      <w:tabs>
        <w:tab w:val="center" w:pos="4536"/>
        <w:tab w:val="right" w:pos="9072"/>
      </w:tabs>
      <w:spacing w:after="0" w:line="240" w:lineRule="auto"/>
      <w:jc w:val="left"/>
    </w:pPr>
    <w:rPr>
      <w:sz w:val="24"/>
    </w:rPr>
  </w:style>
  <w:style w:type="character" w:customStyle="1" w:styleId="KopfzeileZchn">
    <w:name w:val="Kopfzeile Zchn"/>
    <w:basedOn w:val="Absatz-Standardschriftart"/>
    <w:link w:val="Kopfzeile"/>
    <w:uiPriority w:val="99"/>
    <w:rsid w:val="000030C5"/>
    <w:rPr>
      <w:rFonts w:ascii="Times New Roman" w:hAnsi="Times New Roman" w:cs="Times New Roman"/>
      <w:sz w:val="24"/>
    </w:rPr>
  </w:style>
  <w:style w:type="paragraph" w:styleId="Fuzeile">
    <w:name w:val="footer"/>
    <w:basedOn w:val="Standard"/>
    <w:link w:val="FuzeileZchn"/>
    <w:uiPriority w:val="99"/>
    <w:unhideWhenUsed/>
    <w:rsid w:val="003631F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31F5"/>
    <w:rPr>
      <w:rFonts w:ascii="Times New Roman" w:hAnsi="Times New Roman" w:cs="Times New Roman"/>
      <w:sz w:val="24"/>
    </w:rPr>
  </w:style>
  <w:style w:type="character" w:customStyle="1" w:styleId="berschrift1Zchn">
    <w:name w:val="Überschrift 1 Zchn"/>
    <w:aliases w:val="_A Zchn,B Zchn,C Zchn"/>
    <w:basedOn w:val="Absatz-Standardschriftart"/>
    <w:link w:val="berschrift1"/>
    <w:uiPriority w:val="9"/>
    <w:rsid w:val="002B6C19"/>
    <w:rPr>
      <w:rFonts w:asciiTheme="majorHAnsi" w:eastAsiaTheme="majorEastAsia" w:hAnsiTheme="majorHAnsi" w:cstheme="majorBidi"/>
      <w:b/>
      <w:bCs/>
      <w:sz w:val="50"/>
      <w:szCs w:val="28"/>
    </w:rPr>
  </w:style>
  <w:style w:type="character" w:customStyle="1" w:styleId="berschrift2Zchn">
    <w:name w:val="Überschrift 2 Zchn"/>
    <w:aliases w:val="_I Zchn,II Zchn,III Zchn"/>
    <w:basedOn w:val="Absatz-Standardschriftart"/>
    <w:link w:val="berschrift2"/>
    <w:uiPriority w:val="9"/>
    <w:rsid w:val="002B6C19"/>
    <w:rPr>
      <w:rFonts w:asciiTheme="majorHAnsi" w:eastAsiaTheme="majorEastAsia" w:hAnsiTheme="majorHAnsi" w:cstheme="majorBidi"/>
      <w:b/>
      <w:bCs/>
      <w:sz w:val="40"/>
      <w:szCs w:val="26"/>
    </w:rPr>
  </w:style>
  <w:style w:type="paragraph" w:styleId="KeinLeerraum">
    <w:name w:val="No Spacing"/>
    <w:uiPriority w:val="1"/>
    <w:qFormat/>
    <w:rsid w:val="00F03C62"/>
    <w:pPr>
      <w:spacing w:after="0" w:line="240" w:lineRule="auto"/>
    </w:pPr>
    <w:rPr>
      <w:rFonts w:ascii="Times New Roman" w:hAnsi="Times New Roman" w:cs="Times New Roman"/>
      <w:sz w:val="24"/>
    </w:rPr>
  </w:style>
  <w:style w:type="character" w:styleId="IntensiveHervorhebung">
    <w:name w:val="Intense Emphasis"/>
    <w:basedOn w:val="Absatz-Standardschriftart"/>
    <w:uiPriority w:val="21"/>
    <w:qFormat/>
    <w:rsid w:val="00F17FEB"/>
    <w:rPr>
      <w:b/>
      <w:bCs/>
      <w:i/>
      <w:iCs/>
      <w:color w:val="4F81BD" w:themeColor="accent1"/>
    </w:rPr>
  </w:style>
  <w:style w:type="character" w:styleId="BesuchterHyperlink">
    <w:name w:val="FollowedHyperlink"/>
    <w:basedOn w:val="Absatz-Standardschriftart"/>
    <w:uiPriority w:val="99"/>
    <w:semiHidden/>
    <w:unhideWhenUsed/>
    <w:rsid w:val="005103DE"/>
    <w:rPr>
      <w:color w:val="800080" w:themeColor="followedHyperlink"/>
      <w:u w:val="single"/>
    </w:rPr>
  </w:style>
  <w:style w:type="table" w:customStyle="1" w:styleId="Formatvorlage1">
    <w:name w:val="Formatvorlage1"/>
    <w:basedOn w:val="NormaleTabelle"/>
    <w:uiPriority w:val="99"/>
    <w:rsid w:val="008072A2"/>
    <w:pPr>
      <w:spacing w:after="0" w:line="240" w:lineRule="auto"/>
      <w:jc w:val="center"/>
    </w:pPr>
    <w:rPr>
      <w:rFonts w:ascii="Times New Roman" w:hAnsi="Times New Roman"/>
    </w:rPr>
    <w:tblPr/>
  </w:style>
  <w:style w:type="table" w:customStyle="1" w:styleId="TabelleDiss">
    <w:name w:val="Tabelle Diss"/>
    <w:basedOn w:val="TabelleElegant"/>
    <w:uiPriority w:val="99"/>
    <w:rsid w:val="008072A2"/>
    <w:pPr>
      <w:spacing w:after="0" w:line="240" w:lineRule="auto"/>
      <w:jc w:val="left"/>
    </w:pPr>
    <w:rPr>
      <w:rFonts w:ascii="Times New Roman" w:hAnsi="Times New Roman"/>
      <w:sz w:val="20"/>
      <w:szCs w:val="20"/>
      <w:lang w:val="en-GB" w:eastAsia="de-DE"/>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customStyle="1" w:styleId="TabelleDiss2">
    <w:name w:val="Tabelle Diss 2"/>
    <w:basedOn w:val="TabelleDiss"/>
    <w:uiPriority w:val="99"/>
    <w:rsid w:val="008072A2"/>
    <w:rPr>
      <w:sz w:val="24"/>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styleId="TabelleElegant">
    <w:name w:val="Table Elegant"/>
    <w:basedOn w:val="NormaleTabelle"/>
    <w:uiPriority w:val="99"/>
    <w:semiHidden/>
    <w:unhideWhenUsed/>
    <w:rsid w:val="008072A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Dokumentstruktur">
    <w:name w:val="Document Map"/>
    <w:basedOn w:val="Standard"/>
    <w:link w:val="DokumentstrukturZchn"/>
    <w:uiPriority w:val="99"/>
    <w:semiHidden/>
    <w:unhideWhenUsed/>
    <w:rsid w:val="000F4213"/>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0F4213"/>
    <w:rPr>
      <w:rFonts w:ascii="Tahoma" w:hAnsi="Tahoma" w:cs="Tahoma"/>
      <w:sz w:val="16"/>
      <w:szCs w:val="16"/>
    </w:rPr>
  </w:style>
  <w:style w:type="paragraph" w:styleId="Abbildungsverzeichnis">
    <w:name w:val="table of figures"/>
    <w:basedOn w:val="Standard"/>
    <w:next w:val="Standard"/>
    <w:uiPriority w:val="99"/>
    <w:unhideWhenUsed/>
    <w:rsid w:val="0060312D"/>
    <w:pPr>
      <w:spacing w:after="0"/>
    </w:pPr>
  </w:style>
  <w:style w:type="paragraph" w:styleId="Endnotentext">
    <w:name w:val="endnote text"/>
    <w:basedOn w:val="Standard"/>
    <w:link w:val="EndnotentextZchn"/>
    <w:uiPriority w:val="99"/>
    <w:semiHidden/>
    <w:unhideWhenUsed/>
    <w:rsid w:val="008C7908"/>
    <w:pPr>
      <w:spacing w:after="0" w:line="240" w:lineRule="auto"/>
    </w:pPr>
    <w:rPr>
      <w:sz w:val="20"/>
      <w:szCs w:val="20"/>
    </w:rPr>
  </w:style>
  <w:style w:type="character" w:customStyle="1" w:styleId="berschrift4Zchn">
    <w:name w:val="Überschrift 4 Zchn"/>
    <w:aliases w:val="a.b.c. Zchn"/>
    <w:basedOn w:val="Absatz-Standardschriftart"/>
    <w:link w:val="berschrift4"/>
    <w:uiPriority w:val="9"/>
    <w:rsid w:val="00D26A12"/>
    <w:rPr>
      <w:rFonts w:asciiTheme="majorHAnsi" w:eastAsiaTheme="majorEastAsia" w:hAnsiTheme="majorHAnsi" w:cstheme="majorBidi"/>
      <w:b/>
      <w:bCs/>
      <w:iCs/>
      <w:sz w:val="28"/>
    </w:rPr>
  </w:style>
  <w:style w:type="character" w:customStyle="1" w:styleId="berschrift5Zchn">
    <w:name w:val="Überschrift 5 Zchn"/>
    <w:aliases w:val="_i Zchn,ii Zchn,iii Zchn"/>
    <w:basedOn w:val="Absatz-Standardschriftart"/>
    <w:link w:val="berschrift5"/>
    <w:uiPriority w:val="9"/>
    <w:rsid w:val="000D04D0"/>
    <w:rPr>
      <w:rFonts w:asciiTheme="majorHAnsi" w:eastAsiaTheme="majorEastAsia" w:hAnsiTheme="majorHAnsi" w:cstheme="majorBidi"/>
      <w:b/>
      <w:sz w:val="28"/>
    </w:rPr>
  </w:style>
  <w:style w:type="character" w:customStyle="1" w:styleId="berschrift6Zchn">
    <w:name w:val="Überschrift 6 Zchn"/>
    <w:aliases w:val="_(1)(2)(3) Zchn"/>
    <w:basedOn w:val="Absatz-Standardschriftart"/>
    <w:link w:val="berschrift6"/>
    <w:uiPriority w:val="9"/>
    <w:rsid w:val="00235C86"/>
    <w:rPr>
      <w:rFonts w:asciiTheme="majorHAnsi" w:eastAsiaTheme="majorEastAsia" w:hAnsiTheme="majorHAnsi" w:cstheme="majorBidi"/>
      <w:iCs/>
      <w:sz w:val="28"/>
    </w:rPr>
  </w:style>
  <w:style w:type="character" w:customStyle="1" w:styleId="berschrift7Zchn">
    <w:name w:val="Überschrift 7 Zchn"/>
    <w:aliases w:val="ohneNr Zchn"/>
    <w:basedOn w:val="Absatz-Standardschriftart"/>
    <w:link w:val="berschrift7"/>
    <w:uiPriority w:val="9"/>
    <w:rsid w:val="00417FA2"/>
    <w:rPr>
      <w:rFonts w:asciiTheme="majorHAnsi" w:eastAsiaTheme="majorEastAsia" w:hAnsiTheme="majorHAnsi" w:cstheme="majorBidi"/>
      <w:i/>
      <w:iCs/>
      <w:color w:val="404040" w:themeColor="text1" w:themeTint="BF"/>
      <w:sz w:val="28"/>
    </w:rPr>
  </w:style>
  <w:style w:type="character" w:customStyle="1" w:styleId="berschrift8Zchn">
    <w:name w:val="Überschrift 8 Zchn"/>
    <w:basedOn w:val="Absatz-Standardschriftart"/>
    <w:link w:val="berschrift8"/>
    <w:uiPriority w:val="9"/>
    <w:semiHidden/>
    <w:rsid w:val="00FD5634"/>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8F4791"/>
    <w:rPr>
      <w:rFonts w:asciiTheme="majorHAnsi" w:eastAsiaTheme="majorEastAsia" w:hAnsiTheme="majorHAnsi" w:cstheme="majorBidi"/>
      <w:i/>
      <w:iCs/>
      <w:color w:val="404040" w:themeColor="text1" w:themeTint="BF"/>
      <w:sz w:val="20"/>
      <w:szCs w:val="20"/>
    </w:rPr>
  </w:style>
  <w:style w:type="character" w:customStyle="1" w:styleId="EndnotentextZchn">
    <w:name w:val="Endnotentext Zchn"/>
    <w:basedOn w:val="Absatz-Standardschriftart"/>
    <w:link w:val="Endnotentext"/>
    <w:uiPriority w:val="99"/>
    <w:semiHidden/>
    <w:rsid w:val="008C7908"/>
    <w:rPr>
      <w:rFonts w:ascii="Times New Roman" w:hAnsi="Times New Roman" w:cs="Times New Roman"/>
      <w:sz w:val="20"/>
      <w:szCs w:val="20"/>
    </w:rPr>
  </w:style>
  <w:style w:type="character" w:styleId="Endnotenzeichen">
    <w:name w:val="endnote reference"/>
    <w:basedOn w:val="Absatz-Standardschriftart"/>
    <w:uiPriority w:val="99"/>
    <w:semiHidden/>
    <w:unhideWhenUsed/>
    <w:rsid w:val="008C7908"/>
    <w:rPr>
      <w:vertAlign w:val="superscript"/>
    </w:rPr>
  </w:style>
  <w:style w:type="table" w:customStyle="1" w:styleId="DissTabelle2">
    <w:name w:val="DissTabelle2"/>
    <w:basedOn w:val="NormaleTabelle"/>
    <w:uiPriority w:val="64"/>
    <w:rsid w:val="008202D8"/>
    <w:pPr>
      <w:keepNext/>
      <w:spacing w:after="0" w:line="240" w:lineRule="auto"/>
      <w:jc w:val="center"/>
    </w:pPr>
    <w:rPr>
      <w:rFonts w:ascii="Times New Roman" w:hAnsi="Times New Roman"/>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spacing w:before="0" w:after="0" w:line="240" w:lineRule="auto"/>
      </w:pPr>
      <w:rPr>
        <w:rFonts w:ascii="Times New Roman" w:hAnsi="Times New Roman"/>
        <w:b/>
        <w:bCs/>
        <w:color w:val="auto"/>
        <w:sz w:val="24"/>
      </w:rPr>
      <w:tblPr/>
      <w:tcPr>
        <w:shd w:val="clear" w:color="auto" w:fill="A6A6A6" w:themeFill="background1" w:themeFillShade="A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rFonts w:ascii="Times New Roman" w:hAnsi="Times New Roman"/>
        <w:b/>
        <w:bCs/>
        <w:color w:val="auto"/>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6A6A6" w:themeFill="background1" w:themeFillShade="A6"/>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4E155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DissTabelle">
    <w:name w:val="DissTabelle"/>
    <w:basedOn w:val="NormaleTabelle"/>
    <w:uiPriority w:val="99"/>
    <w:rsid w:val="00D535D1"/>
    <w:pPr>
      <w:widowControl w:val="0"/>
      <w:spacing w:after="0" w:line="240" w:lineRule="auto"/>
      <w:jc w:val="center"/>
    </w:pPr>
    <w:rPr>
      <w:rFonts w:ascii="Times New Roman" w:hAnsi="Times New Roman"/>
      <w:sz w:val="24"/>
    </w:rPr>
    <w:tblPr>
      <w:tblStyleRowBandSize w:val="1"/>
      <w:tblBorders>
        <w:top w:val="single" w:sz="4" w:space="0" w:color="auto"/>
        <w:left w:val="single" w:sz="4" w:space="0" w:color="auto"/>
        <w:bottom w:val="single" w:sz="4" w:space="0" w:color="auto"/>
        <w:right w:val="single" w:sz="4" w:space="0" w:color="auto"/>
        <w:insideH w:val="single" w:sz="4" w:space="0" w:color="auto"/>
      </w:tblBorders>
      <w:tblCellMar>
        <w:top w:w="170" w:type="dxa"/>
        <w:bottom w:w="142" w:type="dxa"/>
      </w:tblCellMar>
    </w:tblPr>
    <w:tcPr>
      <w:shd w:val="solid" w:color="auto" w:fill="000000" w:themeFill="text1"/>
      <w:vAlign w:val="center"/>
    </w:tcPr>
    <w:tblStylePr w:type="firstRow">
      <w:pPr>
        <w:keepNext/>
        <w:keepLines w:val="0"/>
        <w:pageBreakBefore w:val="0"/>
        <w:widowControl w:val="0"/>
        <w:suppressLineNumbers w:val="0"/>
        <w:suppressAutoHyphens w:val="0"/>
        <w:wordWrap/>
      </w:pPr>
      <w:rPr>
        <w:rFonts w:ascii="Times New Roman" w:hAnsi="Times New Roman"/>
        <w:b w:val="0"/>
        <w:sz w:val="24"/>
      </w:rPr>
    </w:tblStylePr>
    <w:tblStylePr w:type="firstCol">
      <w:rPr>
        <w:rFonts w:ascii="Times New Roman" w:hAnsi="Times New Roman"/>
        <w:b w:val="0"/>
        <w:sz w:val="24"/>
      </w:rPr>
    </w:tblStylePr>
    <w:tblStylePr w:type="band1Horz">
      <w:rPr>
        <w:rFonts w:ascii="Times New Roman" w:hAnsi="Times New Roman"/>
        <w:sz w:val="24"/>
      </w:rPr>
      <w:tblPr/>
      <w:tcPr>
        <w:shd w:val="clear" w:color="auto" w:fill="808080" w:themeFill="background1" w:themeFillShade="80"/>
      </w:tcPr>
    </w:tblStylePr>
    <w:tblStylePr w:type="band2Horz">
      <w:rPr>
        <w:rFonts w:ascii="Times New Roman" w:hAnsi="Times New Roman"/>
        <w:sz w:val="24"/>
      </w:rPr>
      <w:tblPr/>
      <w:tcPr>
        <w:shd w:val="clear" w:color="auto" w:fill="BFBFBF" w:themeFill="background1" w:themeFillShade="BF"/>
      </w:tcPr>
    </w:tblStylePr>
  </w:style>
  <w:style w:type="table" w:customStyle="1" w:styleId="MittlereSchattierung21">
    <w:name w:val="Mittlere Schattierung 21"/>
    <w:basedOn w:val="NormaleTabelle"/>
    <w:uiPriority w:val="64"/>
    <w:rsid w:val="00833FEE"/>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iteraturverzeichnis">
    <w:name w:val="Bibliography"/>
    <w:basedOn w:val="Standard"/>
    <w:next w:val="Standard"/>
    <w:uiPriority w:val="37"/>
    <w:unhideWhenUsed/>
    <w:rsid w:val="00ED1A63"/>
    <w:pPr>
      <w:keepLines/>
      <w:ind w:left="567" w:hanging="567"/>
      <w:jc w:val="left"/>
    </w:pPr>
  </w:style>
  <w:style w:type="paragraph" w:customStyle="1" w:styleId="Funote">
    <w:name w:val="Fußnote"/>
    <w:basedOn w:val="Standard"/>
    <w:link w:val="FunoteZchn"/>
    <w:qFormat/>
    <w:rsid w:val="007F314D"/>
    <w:pPr>
      <w:keepLines/>
      <w:tabs>
        <w:tab w:val="left" w:pos="397"/>
      </w:tabs>
      <w:spacing w:after="0"/>
      <w:ind w:left="397" w:hanging="397"/>
    </w:pPr>
    <w:rPr>
      <w:sz w:val="24"/>
      <w:szCs w:val="20"/>
    </w:rPr>
  </w:style>
  <w:style w:type="character" w:customStyle="1" w:styleId="FunoteZchn">
    <w:name w:val="Fußnote Zchn"/>
    <w:basedOn w:val="Absatz-Standardschriftart"/>
    <w:link w:val="Funote"/>
    <w:rsid w:val="007F314D"/>
    <w:rPr>
      <w:rFonts w:ascii="Times New Roman" w:hAnsi="Times New Roman" w:cs="Times New Roman"/>
      <w:sz w:val="24"/>
      <w:szCs w:val="20"/>
    </w:rPr>
  </w:style>
  <w:style w:type="paragraph" w:customStyle="1" w:styleId="berschrift1Teil">
    <w:name w:val="Überschrift 1 &quot;Teil&quot;"/>
    <w:basedOn w:val="Standard"/>
    <w:qFormat/>
    <w:rsid w:val="005D5DB3"/>
    <w:pPr>
      <w:keepLines/>
      <w:pageBreakBefore/>
      <w:pBdr>
        <w:top w:val="single" w:sz="8" w:space="1" w:color="auto"/>
        <w:bottom w:val="single" w:sz="8" w:space="1" w:color="auto"/>
      </w:pBdr>
      <w:suppressAutoHyphens/>
      <w:spacing w:before="600" w:after="720" w:line="240" w:lineRule="auto"/>
      <w:jc w:val="center"/>
      <w:outlineLvl w:val="0"/>
    </w:pPr>
    <w:rPr>
      <w:rFonts w:asciiTheme="majorHAnsi" w:eastAsiaTheme="majorEastAsia" w:hAnsiTheme="majorHAnsi" w:cstheme="majorBidi"/>
      <w:b/>
      <w:bCs/>
      <w:sz w:val="50"/>
      <w:szCs w:val="28"/>
    </w:rPr>
  </w:style>
  <w:style w:type="paragraph" w:customStyle="1" w:styleId="Bildunterschrift">
    <w:name w:val="Bildunterschrift"/>
    <w:basedOn w:val="Standard"/>
    <w:qFormat/>
    <w:rsid w:val="00F91B0D"/>
    <w:pPr>
      <w:spacing w:before="240" w:after="480" w:line="240" w:lineRule="auto"/>
      <w:jc w:val="left"/>
    </w:pPr>
    <w:rPr>
      <w:bCs/>
      <w:sz w:val="24"/>
      <w:szCs w:val="23"/>
    </w:rPr>
  </w:style>
  <w:style w:type="paragraph" w:customStyle="1" w:styleId="Abbildung">
    <w:name w:val="Abbildung"/>
    <w:basedOn w:val="Standard"/>
    <w:qFormat/>
    <w:rsid w:val="00F91B0D"/>
    <w:pPr>
      <w:keepNext/>
      <w:spacing w:before="480" w:after="120" w:line="240" w:lineRule="auto"/>
      <w:jc w:val="left"/>
    </w:pPr>
    <w:rPr>
      <w:noProof/>
      <w:lang w:eastAsia="de-DE"/>
    </w:rPr>
  </w:style>
  <w:style w:type="paragraph" w:customStyle="1" w:styleId="berschrift1ohneNummer">
    <w:name w:val="Überschrift 1 ohne Nummer"/>
    <w:basedOn w:val="berschrift1Teil"/>
    <w:qFormat/>
    <w:rsid w:val="00EF64F5"/>
    <w:pPr>
      <w:pBdr>
        <w:top w:val="none" w:sz="0" w:space="0" w:color="auto"/>
        <w:bottom w:val="none" w:sz="0" w:space="0" w:color="auto"/>
      </w:pBdr>
      <w:jc w:val="left"/>
    </w:pPr>
    <w:rPr>
      <w:lang w:val="en-GB"/>
    </w:rPr>
  </w:style>
  <w:style w:type="paragraph" w:customStyle="1" w:styleId="Seitenzahlrechts">
    <w:name w:val="Seitenzahl rechts"/>
    <w:basedOn w:val="Fuzeile"/>
    <w:qFormat/>
    <w:rsid w:val="00F8546B"/>
    <w:pPr>
      <w:jc w:val="right"/>
    </w:pPr>
  </w:style>
  <w:style w:type="paragraph" w:customStyle="1" w:styleId="Verzeichnis1-Part">
    <w:name w:val="Verzeichnis 1 - Part"/>
    <w:qFormat/>
    <w:rsid w:val="00900B4D"/>
    <w:pPr>
      <w:pBdr>
        <w:top w:val="single" w:sz="8" w:space="1" w:color="auto"/>
        <w:bottom w:val="single" w:sz="8" w:space="1" w:color="auto"/>
      </w:pBdr>
      <w:tabs>
        <w:tab w:val="right" w:pos="8618"/>
      </w:tabs>
      <w:spacing w:before="360"/>
    </w:pPr>
    <w:rPr>
      <w:rFonts w:ascii="Times New Roman" w:hAnsi="Times New Roman" w:cs="Times New Roman"/>
      <w:b/>
      <w:bCs/>
      <w:noProof/>
      <w:sz w:val="28"/>
      <w:szCs w:val="24"/>
    </w:rPr>
  </w:style>
  <w:style w:type="paragraph" w:customStyle="1" w:styleId="Abkrzungsverzeichnis">
    <w:name w:val="Abkürzungsverzeichnis"/>
    <w:basedOn w:val="Standard"/>
    <w:qFormat/>
    <w:rsid w:val="0069255D"/>
    <w:pPr>
      <w:suppressAutoHyphens/>
      <w:ind w:left="2268" w:hanging="2268"/>
      <w:jc w:val="left"/>
    </w:pPr>
    <w:rPr>
      <w:szCs w:val="28"/>
    </w:rPr>
  </w:style>
  <w:style w:type="paragraph" w:customStyle="1" w:styleId="Kopfzeilerechts">
    <w:name w:val="Kopfzeile rechts"/>
    <w:basedOn w:val="Kopfzeile"/>
    <w:qFormat/>
    <w:rsid w:val="000030C5"/>
    <w:pPr>
      <w:pBdr>
        <w:between w:val="single" w:sz="4" w:space="1" w:color="4F81BD" w:themeColor="accent1"/>
      </w:pBdr>
      <w:tabs>
        <w:tab w:val="left" w:pos="3724"/>
      </w:tabs>
      <w:spacing w:line="276" w:lineRule="auto"/>
      <w:jc w:val="right"/>
    </w:pPr>
    <w:rPr>
      <w:noProof/>
    </w:rPr>
  </w:style>
  <w:style w:type="paragraph" w:customStyle="1" w:styleId="Aufzhlung">
    <w:name w:val="Aufzählung"/>
    <w:basedOn w:val="Standard"/>
    <w:qFormat/>
    <w:rsid w:val="005D5DB3"/>
    <w:pPr>
      <w:numPr>
        <w:numId w:val="8"/>
      </w:numPr>
      <w:tabs>
        <w:tab w:val="left" w:pos="851"/>
      </w:tabs>
      <w:ind w:left="850" w:hanging="5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811071">
      <w:bodyDiv w:val="1"/>
      <w:marLeft w:val="0"/>
      <w:marRight w:val="0"/>
      <w:marTop w:val="0"/>
      <w:marBottom w:val="0"/>
      <w:divBdr>
        <w:top w:val="none" w:sz="0" w:space="0" w:color="auto"/>
        <w:left w:val="none" w:sz="0" w:space="0" w:color="auto"/>
        <w:bottom w:val="none" w:sz="0" w:space="0" w:color="auto"/>
        <w:right w:val="none" w:sz="0" w:space="0" w:color="auto"/>
      </w:divBdr>
      <w:divsChild>
        <w:div w:id="314603269">
          <w:marLeft w:val="0"/>
          <w:marRight w:val="0"/>
          <w:marTop w:val="0"/>
          <w:marBottom w:val="0"/>
          <w:divBdr>
            <w:top w:val="none" w:sz="0" w:space="0" w:color="auto"/>
            <w:left w:val="none" w:sz="0" w:space="0" w:color="auto"/>
            <w:bottom w:val="none" w:sz="0" w:space="0" w:color="auto"/>
            <w:right w:val="none" w:sz="0" w:space="0" w:color="auto"/>
          </w:divBdr>
        </w:div>
        <w:div w:id="719011097">
          <w:marLeft w:val="0"/>
          <w:marRight w:val="0"/>
          <w:marTop w:val="0"/>
          <w:marBottom w:val="0"/>
          <w:divBdr>
            <w:top w:val="none" w:sz="0" w:space="0" w:color="auto"/>
            <w:left w:val="none" w:sz="0" w:space="0" w:color="auto"/>
            <w:bottom w:val="none" w:sz="0" w:space="0" w:color="auto"/>
            <w:right w:val="none" w:sz="0" w:space="0" w:color="auto"/>
          </w:divBdr>
        </w:div>
        <w:div w:id="871267170">
          <w:marLeft w:val="0"/>
          <w:marRight w:val="0"/>
          <w:marTop w:val="0"/>
          <w:marBottom w:val="0"/>
          <w:divBdr>
            <w:top w:val="none" w:sz="0" w:space="0" w:color="auto"/>
            <w:left w:val="none" w:sz="0" w:space="0" w:color="auto"/>
            <w:bottom w:val="none" w:sz="0" w:space="0" w:color="auto"/>
            <w:right w:val="none" w:sz="0" w:space="0" w:color="auto"/>
          </w:divBdr>
        </w:div>
        <w:div w:id="1807160366">
          <w:marLeft w:val="0"/>
          <w:marRight w:val="0"/>
          <w:marTop w:val="0"/>
          <w:marBottom w:val="0"/>
          <w:divBdr>
            <w:top w:val="none" w:sz="0" w:space="0" w:color="auto"/>
            <w:left w:val="none" w:sz="0" w:space="0" w:color="auto"/>
            <w:bottom w:val="none" w:sz="0" w:space="0" w:color="auto"/>
            <w:right w:val="none" w:sz="0" w:space="0" w:color="auto"/>
          </w:divBdr>
        </w:div>
        <w:div w:id="2129348976">
          <w:marLeft w:val="0"/>
          <w:marRight w:val="0"/>
          <w:marTop w:val="0"/>
          <w:marBottom w:val="0"/>
          <w:divBdr>
            <w:top w:val="none" w:sz="0" w:space="0" w:color="auto"/>
            <w:left w:val="none" w:sz="0" w:space="0" w:color="auto"/>
            <w:bottom w:val="none" w:sz="0" w:space="0" w:color="auto"/>
            <w:right w:val="none" w:sz="0" w:space="0" w:color="auto"/>
          </w:divBdr>
        </w:div>
      </w:divsChild>
    </w:div>
    <w:div w:id="55860563">
      <w:bodyDiv w:val="1"/>
      <w:marLeft w:val="0"/>
      <w:marRight w:val="0"/>
      <w:marTop w:val="0"/>
      <w:marBottom w:val="0"/>
      <w:divBdr>
        <w:top w:val="none" w:sz="0" w:space="0" w:color="auto"/>
        <w:left w:val="none" w:sz="0" w:space="0" w:color="auto"/>
        <w:bottom w:val="none" w:sz="0" w:space="0" w:color="auto"/>
        <w:right w:val="none" w:sz="0" w:space="0" w:color="auto"/>
      </w:divBdr>
    </w:div>
    <w:div w:id="95027486">
      <w:bodyDiv w:val="1"/>
      <w:marLeft w:val="0"/>
      <w:marRight w:val="0"/>
      <w:marTop w:val="0"/>
      <w:marBottom w:val="0"/>
      <w:divBdr>
        <w:top w:val="none" w:sz="0" w:space="0" w:color="auto"/>
        <w:left w:val="none" w:sz="0" w:space="0" w:color="auto"/>
        <w:bottom w:val="none" w:sz="0" w:space="0" w:color="auto"/>
        <w:right w:val="none" w:sz="0" w:space="0" w:color="auto"/>
      </w:divBdr>
      <w:divsChild>
        <w:div w:id="105586396">
          <w:marLeft w:val="0"/>
          <w:marRight w:val="0"/>
          <w:marTop w:val="0"/>
          <w:marBottom w:val="0"/>
          <w:divBdr>
            <w:top w:val="none" w:sz="0" w:space="0" w:color="auto"/>
            <w:left w:val="none" w:sz="0" w:space="0" w:color="auto"/>
            <w:bottom w:val="none" w:sz="0" w:space="0" w:color="auto"/>
            <w:right w:val="none" w:sz="0" w:space="0" w:color="auto"/>
          </w:divBdr>
        </w:div>
        <w:div w:id="244190456">
          <w:marLeft w:val="0"/>
          <w:marRight w:val="0"/>
          <w:marTop w:val="0"/>
          <w:marBottom w:val="0"/>
          <w:divBdr>
            <w:top w:val="none" w:sz="0" w:space="0" w:color="auto"/>
            <w:left w:val="none" w:sz="0" w:space="0" w:color="auto"/>
            <w:bottom w:val="none" w:sz="0" w:space="0" w:color="auto"/>
            <w:right w:val="none" w:sz="0" w:space="0" w:color="auto"/>
          </w:divBdr>
        </w:div>
        <w:div w:id="437726019">
          <w:marLeft w:val="0"/>
          <w:marRight w:val="0"/>
          <w:marTop w:val="0"/>
          <w:marBottom w:val="0"/>
          <w:divBdr>
            <w:top w:val="none" w:sz="0" w:space="0" w:color="auto"/>
            <w:left w:val="none" w:sz="0" w:space="0" w:color="auto"/>
            <w:bottom w:val="none" w:sz="0" w:space="0" w:color="auto"/>
            <w:right w:val="none" w:sz="0" w:space="0" w:color="auto"/>
          </w:divBdr>
        </w:div>
        <w:div w:id="485824930">
          <w:marLeft w:val="0"/>
          <w:marRight w:val="0"/>
          <w:marTop w:val="0"/>
          <w:marBottom w:val="0"/>
          <w:divBdr>
            <w:top w:val="none" w:sz="0" w:space="0" w:color="auto"/>
            <w:left w:val="none" w:sz="0" w:space="0" w:color="auto"/>
            <w:bottom w:val="none" w:sz="0" w:space="0" w:color="auto"/>
            <w:right w:val="none" w:sz="0" w:space="0" w:color="auto"/>
          </w:divBdr>
        </w:div>
        <w:div w:id="640158757">
          <w:marLeft w:val="0"/>
          <w:marRight w:val="0"/>
          <w:marTop w:val="0"/>
          <w:marBottom w:val="0"/>
          <w:divBdr>
            <w:top w:val="none" w:sz="0" w:space="0" w:color="auto"/>
            <w:left w:val="none" w:sz="0" w:space="0" w:color="auto"/>
            <w:bottom w:val="none" w:sz="0" w:space="0" w:color="auto"/>
            <w:right w:val="none" w:sz="0" w:space="0" w:color="auto"/>
          </w:divBdr>
        </w:div>
        <w:div w:id="810093222">
          <w:marLeft w:val="0"/>
          <w:marRight w:val="0"/>
          <w:marTop w:val="0"/>
          <w:marBottom w:val="0"/>
          <w:divBdr>
            <w:top w:val="none" w:sz="0" w:space="0" w:color="auto"/>
            <w:left w:val="none" w:sz="0" w:space="0" w:color="auto"/>
            <w:bottom w:val="none" w:sz="0" w:space="0" w:color="auto"/>
            <w:right w:val="none" w:sz="0" w:space="0" w:color="auto"/>
          </w:divBdr>
        </w:div>
        <w:div w:id="1378503935">
          <w:marLeft w:val="0"/>
          <w:marRight w:val="0"/>
          <w:marTop w:val="0"/>
          <w:marBottom w:val="0"/>
          <w:divBdr>
            <w:top w:val="none" w:sz="0" w:space="0" w:color="auto"/>
            <w:left w:val="none" w:sz="0" w:space="0" w:color="auto"/>
            <w:bottom w:val="none" w:sz="0" w:space="0" w:color="auto"/>
            <w:right w:val="none" w:sz="0" w:space="0" w:color="auto"/>
          </w:divBdr>
        </w:div>
        <w:div w:id="1828007991">
          <w:marLeft w:val="0"/>
          <w:marRight w:val="0"/>
          <w:marTop w:val="0"/>
          <w:marBottom w:val="0"/>
          <w:divBdr>
            <w:top w:val="none" w:sz="0" w:space="0" w:color="auto"/>
            <w:left w:val="none" w:sz="0" w:space="0" w:color="auto"/>
            <w:bottom w:val="none" w:sz="0" w:space="0" w:color="auto"/>
            <w:right w:val="none" w:sz="0" w:space="0" w:color="auto"/>
          </w:divBdr>
        </w:div>
        <w:div w:id="1868370449">
          <w:marLeft w:val="0"/>
          <w:marRight w:val="0"/>
          <w:marTop w:val="0"/>
          <w:marBottom w:val="0"/>
          <w:divBdr>
            <w:top w:val="none" w:sz="0" w:space="0" w:color="auto"/>
            <w:left w:val="none" w:sz="0" w:space="0" w:color="auto"/>
            <w:bottom w:val="none" w:sz="0" w:space="0" w:color="auto"/>
            <w:right w:val="none" w:sz="0" w:space="0" w:color="auto"/>
          </w:divBdr>
        </w:div>
        <w:div w:id="1907955877">
          <w:marLeft w:val="0"/>
          <w:marRight w:val="0"/>
          <w:marTop w:val="0"/>
          <w:marBottom w:val="0"/>
          <w:divBdr>
            <w:top w:val="none" w:sz="0" w:space="0" w:color="auto"/>
            <w:left w:val="none" w:sz="0" w:space="0" w:color="auto"/>
            <w:bottom w:val="none" w:sz="0" w:space="0" w:color="auto"/>
            <w:right w:val="none" w:sz="0" w:space="0" w:color="auto"/>
          </w:divBdr>
        </w:div>
        <w:div w:id="2126652382">
          <w:marLeft w:val="0"/>
          <w:marRight w:val="0"/>
          <w:marTop w:val="0"/>
          <w:marBottom w:val="0"/>
          <w:divBdr>
            <w:top w:val="none" w:sz="0" w:space="0" w:color="auto"/>
            <w:left w:val="none" w:sz="0" w:space="0" w:color="auto"/>
            <w:bottom w:val="none" w:sz="0" w:space="0" w:color="auto"/>
            <w:right w:val="none" w:sz="0" w:space="0" w:color="auto"/>
          </w:divBdr>
        </w:div>
      </w:divsChild>
    </w:div>
    <w:div w:id="161506798">
      <w:bodyDiv w:val="1"/>
      <w:marLeft w:val="0"/>
      <w:marRight w:val="0"/>
      <w:marTop w:val="0"/>
      <w:marBottom w:val="0"/>
      <w:divBdr>
        <w:top w:val="none" w:sz="0" w:space="0" w:color="auto"/>
        <w:left w:val="none" w:sz="0" w:space="0" w:color="auto"/>
        <w:bottom w:val="none" w:sz="0" w:space="0" w:color="auto"/>
        <w:right w:val="none" w:sz="0" w:space="0" w:color="auto"/>
      </w:divBdr>
      <w:divsChild>
        <w:div w:id="34622702">
          <w:marLeft w:val="490"/>
          <w:marRight w:val="0"/>
          <w:marTop w:val="96"/>
          <w:marBottom w:val="0"/>
          <w:divBdr>
            <w:top w:val="none" w:sz="0" w:space="0" w:color="auto"/>
            <w:left w:val="none" w:sz="0" w:space="0" w:color="auto"/>
            <w:bottom w:val="none" w:sz="0" w:space="0" w:color="auto"/>
            <w:right w:val="none" w:sz="0" w:space="0" w:color="auto"/>
          </w:divBdr>
        </w:div>
        <w:div w:id="146824636">
          <w:marLeft w:val="490"/>
          <w:marRight w:val="0"/>
          <w:marTop w:val="96"/>
          <w:marBottom w:val="0"/>
          <w:divBdr>
            <w:top w:val="none" w:sz="0" w:space="0" w:color="auto"/>
            <w:left w:val="none" w:sz="0" w:space="0" w:color="auto"/>
            <w:bottom w:val="none" w:sz="0" w:space="0" w:color="auto"/>
            <w:right w:val="none" w:sz="0" w:space="0" w:color="auto"/>
          </w:divBdr>
        </w:div>
        <w:div w:id="168642059">
          <w:marLeft w:val="490"/>
          <w:marRight w:val="0"/>
          <w:marTop w:val="96"/>
          <w:marBottom w:val="0"/>
          <w:divBdr>
            <w:top w:val="none" w:sz="0" w:space="0" w:color="auto"/>
            <w:left w:val="none" w:sz="0" w:space="0" w:color="auto"/>
            <w:bottom w:val="none" w:sz="0" w:space="0" w:color="auto"/>
            <w:right w:val="none" w:sz="0" w:space="0" w:color="auto"/>
          </w:divBdr>
        </w:div>
        <w:div w:id="444203180">
          <w:marLeft w:val="490"/>
          <w:marRight w:val="0"/>
          <w:marTop w:val="96"/>
          <w:marBottom w:val="0"/>
          <w:divBdr>
            <w:top w:val="none" w:sz="0" w:space="0" w:color="auto"/>
            <w:left w:val="none" w:sz="0" w:space="0" w:color="auto"/>
            <w:bottom w:val="none" w:sz="0" w:space="0" w:color="auto"/>
            <w:right w:val="none" w:sz="0" w:space="0" w:color="auto"/>
          </w:divBdr>
        </w:div>
        <w:div w:id="1177303928">
          <w:marLeft w:val="490"/>
          <w:marRight w:val="0"/>
          <w:marTop w:val="96"/>
          <w:marBottom w:val="0"/>
          <w:divBdr>
            <w:top w:val="none" w:sz="0" w:space="0" w:color="auto"/>
            <w:left w:val="none" w:sz="0" w:space="0" w:color="auto"/>
            <w:bottom w:val="none" w:sz="0" w:space="0" w:color="auto"/>
            <w:right w:val="none" w:sz="0" w:space="0" w:color="auto"/>
          </w:divBdr>
        </w:div>
        <w:div w:id="1653636197">
          <w:marLeft w:val="490"/>
          <w:marRight w:val="0"/>
          <w:marTop w:val="96"/>
          <w:marBottom w:val="0"/>
          <w:divBdr>
            <w:top w:val="none" w:sz="0" w:space="0" w:color="auto"/>
            <w:left w:val="none" w:sz="0" w:space="0" w:color="auto"/>
            <w:bottom w:val="none" w:sz="0" w:space="0" w:color="auto"/>
            <w:right w:val="none" w:sz="0" w:space="0" w:color="auto"/>
          </w:divBdr>
        </w:div>
      </w:divsChild>
    </w:div>
    <w:div w:id="165829262">
      <w:bodyDiv w:val="1"/>
      <w:marLeft w:val="0"/>
      <w:marRight w:val="0"/>
      <w:marTop w:val="0"/>
      <w:marBottom w:val="0"/>
      <w:divBdr>
        <w:top w:val="none" w:sz="0" w:space="0" w:color="auto"/>
        <w:left w:val="none" w:sz="0" w:space="0" w:color="auto"/>
        <w:bottom w:val="none" w:sz="0" w:space="0" w:color="auto"/>
        <w:right w:val="none" w:sz="0" w:space="0" w:color="auto"/>
      </w:divBdr>
      <w:divsChild>
        <w:div w:id="1589119974">
          <w:marLeft w:val="0"/>
          <w:marRight w:val="0"/>
          <w:marTop w:val="0"/>
          <w:marBottom w:val="0"/>
          <w:divBdr>
            <w:top w:val="none" w:sz="0" w:space="0" w:color="auto"/>
            <w:left w:val="none" w:sz="0" w:space="0" w:color="auto"/>
            <w:bottom w:val="none" w:sz="0" w:space="0" w:color="auto"/>
            <w:right w:val="none" w:sz="0" w:space="0" w:color="auto"/>
          </w:divBdr>
          <w:divsChild>
            <w:div w:id="1489590731">
              <w:marLeft w:val="0"/>
              <w:marRight w:val="0"/>
              <w:marTop w:val="0"/>
              <w:marBottom w:val="0"/>
              <w:divBdr>
                <w:top w:val="none" w:sz="0" w:space="0" w:color="auto"/>
                <w:left w:val="none" w:sz="0" w:space="0" w:color="auto"/>
                <w:bottom w:val="none" w:sz="0" w:space="0" w:color="auto"/>
                <w:right w:val="none" w:sz="0" w:space="0" w:color="auto"/>
              </w:divBdr>
              <w:divsChild>
                <w:div w:id="32304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946528">
      <w:bodyDiv w:val="1"/>
      <w:marLeft w:val="0"/>
      <w:marRight w:val="0"/>
      <w:marTop w:val="0"/>
      <w:marBottom w:val="0"/>
      <w:divBdr>
        <w:top w:val="none" w:sz="0" w:space="0" w:color="auto"/>
        <w:left w:val="none" w:sz="0" w:space="0" w:color="auto"/>
        <w:bottom w:val="none" w:sz="0" w:space="0" w:color="auto"/>
        <w:right w:val="none" w:sz="0" w:space="0" w:color="auto"/>
      </w:divBdr>
      <w:divsChild>
        <w:div w:id="1715738829">
          <w:marLeft w:val="0"/>
          <w:marRight w:val="0"/>
          <w:marTop w:val="0"/>
          <w:marBottom w:val="0"/>
          <w:divBdr>
            <w:top w:val="none" w:sz="0" w:space="0" w:color="auto"/>
            <w:left w:val="none" w:sz="0" w:space="0" w:color="auto"/>
            <w:bottom w:val="none" w:sz="0" w:space="0" w:color="auto"/>
            <w:right w:val="none" w:sz="0" w:space="0" w:color="auto"/>
          </w:divBdr>
        </w:div>
        <w:div w:id="1840466098">
          <w:marLeft w:val="0"/>
          <w:marRight w:val="0"/>
          <w:marTop w:val="0"/>
          <w:marBottom w:val="0"/>
          <w:divBdr>
            <w:top w:val="none" w:sz="0" w:space="0" w:color="auto"/>
            <w:left w:val="none" w:sz="0" w:space="0" w:color="auto"/>
            <w:bottom w:val="none" w:sz="0" w:space="0" w:color="auto"/>
            <w:right w:val="none" w:sz="0" w:space="0" w:color="auto"/>
          </w:divBdr>
        </w:div>
      </w:divsChild>
    </w:div>
    <w:div w:id="208303588">
      <w:bodyDiv w:val="1"/>
      <w:marLeft w:val="0"/>
      <w:marRight w:val="0"/>
      <w:marTop w:val="0"/>
      <w:marBottom w:val="0"/>
      <w:divBdr>
        <w:top w:val="none" w:sz="0" w:space="0" w:color="auto"/>
        <w:left w:val="none" w:sz="0" w:space="0" w:color="auto"/>
        <w:bottom w:val="none" w:sz="0" w:space="0" w:color="auto"/>
        <w:right w:val="none" w:sz="0" w:space="0" w:color="auto"/>
      </w:divBdr>
      <w:divsChild>
        <w:div w:id="1749423883">
          <w:marLeft w:val="0"/>
          <w:marRight w:val="0"/>
          <w:marTop w:val="0"/>
          <w:marBottom w:val="0"/>
          <w:divBdr>
            <w:top w:val="none" w:sz="0" w:space="0" w:color="auto"/>
            <w:left w:val="none" w:sz="0" w:space="0" w:color="auto"/>
            <w:bottom w:val="none" w:sz="0" w:space="0" w:color="auto"/>
            <w:right w:val="none" w:sz="0" w:space="0" w:color="auto"/>
          </w:divBdr>
          <w:divsChild>
            <w:div w:id="124660565">
              <w:marLeft w:val="0"/>
              <w:marRight w:val="0"/>
              <w:marTop w:val="0"/>
              <w:marBottom w:val="0"/>
              <w:divBdr>
                <w:top w:val="none" w:sz="0" w:space="0" w:color="auto"/>
                <w:left w:val="none" w:sz="0" w:space="0" w:color="auto"/>
                <w:bottom w:val="none" w:sz="0" w:space="0" w:color="auto"/>
                <w:right w:val="none" w:sz="0" w:space="0" w:color="auto"/>
              </w:divBdr>
              <w:divsChild>
                <w:div w:id="3150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0509063">
      <w:bodyDiv w:val="1"/>
      <w:marLeft w:val="0"/>
      <w:marRight w:val="0"/>
      <w:marTop w:val="0"/>
      <w:marBottom w:val="0"/>
      <w:divBdr>
        <w:top w:val="none" w:sz="0" w:space="0" w:color="auto"/>
        <w:left w:val="none" w:sz="0" w:space="0" w:color="auto"/>
        <w:bottom w:val="none" w:sz="0" w:space="0" w:color="auto"/>
        <w:right w:val="none" w:sz="0" w:space="0" w:color="auto"/>
      </w:divBdr>
      <w:divsChild>
        <w:div w:id="423690941">
          <w:marLeft w:val="547"/>
          <w:marRight w:val="0"/>
          <w:marTop w:val="77"/>
          <w:marBottom w:val="0"/>
          <w:divBdr>
            <w:top w:val="none" w:sz="0" w:space="0" w:color="auto"/>
            <w:left w:val="none" w:sz="0" w:space="0" w:color="auto"/>
            <w:bottom w:val="none" w:sz="0" w:space="0" w:color="auto"/>
            <w:right w:val="none" w:sz="0" w:space="0" w:color="auto"/>
          </w:divBdr>
        </w:div>
        <w:div w:id="961957845">
          <w:marLeft w:val="547"/>
          <w:marRight w:val="0"/>
          <w:marTop w:val="77"/>
          <w:marBottom w:val="0"/>
          <w:divBdr>
            <w:top w:val="none" w:sz="0" w:space="0" w:color="auto"/>
            <w:left w:val="none" w:sz="0" w:space="0" w:color="auto"/>
            <w:bottom w:val="none" w:sz="0" w:space="0" w:color="auto"/>
            <w:right w:val="none" w:sz="0" w:space="0" w:color="auto"/>
          </w:divBdr>
        </w:div>
        <w:div w:id="1017200627">
          <w:marLeft w:val="547"/>
          <w:marRight w:val="0"/>
          <w:marTop w:val="96"/>
          <w:marBottom w:val="0"/>
          <w:divBdr>
            <w:top w:val="none" w:sz="0" w:space="0" w:color="auto"/>
            <w:left w:val="none" w:sz="0" w:space="0" w:color="auto"/>
            <w:bottom w:val="none" w:sz="0" w:space="0" w:color="auto"/>
            <w:right w:val="none" w:sz="0" w:space="0" w:color="auto"/>
          </w:divBdr>
        </w:div>
        <w:div w:id="1137380427">
          <w:marLeft w:val="547"/>
          <w:marRight w:val="0"/>
          <w:marTop w:val="77"/>
          <w:marBottom w:val="0"/>
          <w:divBdr>
            <w:top w:val="none" w:sz="0" w:space="0" w:color="auto"/>
            <w:left w:val="none" w:sz="0" w:space="0" w:color="auto"/>
            <w:bottom w:val="none" w:sz="0" w:space="0" w:color="auto"/>
            <w:right w:val="none" w:sz="0" w:space="0" w:color="auto"/>
          </w:divBdr>
        </w:div>
        <w:div w:id="1499735840">
          <w:marLeft w:val="547"/>
          <w:marRight w:val="0"/>
          <w:marTop w:val="77"/>
          <w:marBottom w:val="0"/>
          <w:divBdr>
            <w:top w:val="none" w:sz="0" w:space="0" w:color="auto"/>
            <w:left w:val="none" w:sz="0" w:space="0" w:color="auto"/>
            <w:bottom w:val="none" w:sz="0" w:space="0" w:color="auto"/>
            <w:right w:val="none" w:sz="0" w:space="0" w:color="auto"/>
          </w:divBdr>
        </w:div>
        <w:div w:id="1915582121">
          <w:marLeft w:val="547"/>
          <w:marRight w:val="0"/>
          <w:marTop w:val="77"/>
          <w:marBottom w:val="0"/>
          <w:divBdr>
            <w:top w:val="none" w:sz="0" w:space="0" w:color="auto"/>
            <w:left w:val="none" w:sz="0" w:space="0" w:color="auto"/>
            <w:bottom w:val="none" w:sz="0" w:space="0" w:color="auto"/>
            <w:right w:val="none" w:sz="0" w:space="0" w:color="auto"/>
          </w:divBdr>
        </w:div>
        <w:div w:id="1928492699">
          <w:marLeft w:val="547"/>
          <w:marRight w:val="0"/>
          <w:marTop w:val="77"/>
          <w:marBottom w:val="0"/>
          <w:divBdr>
            <w:top w:val="none" w:sz="0" w:space="0" w:color="auto"/>
            <w:left w:val="none" w:sz="0" w:space="0" w:color="auto"/>
            <w:bottom w:val="none" w:sz="0" w:space="0" w:color="auto"/>
            <w:right w:val="none" w:sz="0" w:space="0" w:color="auto"/>
          </w:divBdr>
        </w:div>
        <w:div w:id="1986734750">
          <w:marLeft w:val="547"/>
          <w:marRight w:val="0"/>
          <w:marTop w:val="77"/>
          <w:marBottom w:val="0"/>
          <w:divBdr>
            <w:top w:val="none" w:sz="0" w:space="0" w:color="auto"/>
            <w:left w:val="none" w:sz="0" w:space="0" w:color="auto"/>
            <w:bottom w:val="none" w:sz="0" w:space="0" w:color="auto"/>
            <w:right w:val="none" w:sz="0" w:space="0" w:color="auto"/>
          </w:divBdr>
        </w:div>
        <w:div w:id="2017344835">
          <w:marLeft w:val="547"/>
          <w:marRight w:val="0"/>
          <w:marTop w:val="77"/>
          <w:marBottom w:val="0"/>
          <w:divBdr>
            <w:top w:val="none" w:sz="0" w:space="0" w:color="auto"/>
            <w:left w:val="none" w:sz="0" w:space="0" w:color="auto"/>
            <w:bottom w:val="none" w:sz="0" w:space="0" w:color="auto"/>
            <w:right w:val="none" w:sz="0" w:space="0" w:color="auto"/>
          </w:divBdr>
        </w:div>
        <w:div w:id="2109616611">
          <w:marLeft w:val="547"/>
          <w:marRight w:val="0"/>
          <w:marTop w:val="77"/>
          <w:marBottom w:val="0"/>
          <w:divBdr>
            <w:top w:val="none" w:sz="0" w:space="0" w:color="auto"/>
            <w:left w:val="none" w:sz="0" w:space="0" w:color="auto"/>
            <w:bottom w:val="none" w:sz="0" w:space="0" w:color="auto"/>
            <w:right w:val="none" w:sz="0" w:space="0" w:color="auto"/>
          </w:divBdr>
        </w:div>
      </w:divsChild>
    </w:div>
    <w:div w:id="247496317">
      <w:bodyDiv w:val="1"/>
      <w:marLeft w:val="0"/>
      <w:marRight w:val="0"/>
      <w:marTop w:val="0"/>
      <w:marBottom w:val="0"/>
      <w:divBdr>
        <w:top w:val="none" w:sz="0" w:space="0" w:color="auto"/>
        <w:left w:val="none" w:sz="0" w:space="0" w:color="auto"/>
        <w:bottom w:val="none" w:sz="0" w:space="0" w:color="auto"/>
        <w:right w:val="none" w:sz="0" w:space="0" w:color="auto"/>
      </w:divBdr>
    </w:div>
    <w:div w:id="258878414">
      <w:bodyDiv w:val="1"/>
      <w:marLeft w:val="0"/>
      <w:marRight w:val="0"/>
      <w:marTop w:val="0"/>
      <w:marBottom w:val="0"/>
      <w:divBdr>
        <w:top w:val="none" w:sz="0" w:space="0" w:color="auto"/>
        <w:left w:val="none" w:sz="0" w:space="0" w:color="auto"/>
        <w:bottom w:val="none" w:sz="0" w:space="0" w:color="auto"/>
        <w:right w:val="none" w:sz="0" w:space="0" w:color="auto"/>
      </w:divBdr>
    </w:div>
    <w:div w:id="268437244">
      <w:bodyDiv w:val="1"/>
      <w:marLeft w:val="0"/>
      <w:marRight w:val="0"/>
      <w:marTop w:val="0"/>
      <w:marBottom w:val="0"/>
      <w:divBdr>
        <w:top w:val="none" w:sz="0" w:space="0" w:color="auto"/>
        <w:left w:val="none" w:sz="0" w:space="0" w:color="auto"/>
        <w:bottom w:val="none" w:sz="0" w:space="0" w:color="auto"/>
        <w:right w:val="none" w:sz="0" w:space="0" w:color="auto"/>
      </w:divBdr>
      <w:divsChild>
        <w:div w:id="50007361">
          <w:marLeft w:val="547"/>
          <w:marRight w:val="0"/>
          <w:marTop w:val="120"/>
          <w:marBottom w:val="120"/>
          <w:divBdr>
            <w:top w:val="none" w:sz="0" w:space="0" w:color="auto"/>
            <w:left w:val="none" w:sz="0" w:space="0" w:color="auto"/>
            <w:bottom w:val="none" w:sz="0" w:space="0" w:color="auto"/>
            <w:right w:val="none" w:sz="0" w:space="0" w:color="auto"/>
          </w:divBdr>
        </w:div>
        <w:div w:id="1053889592">
          <w:marLeft w:val="547"/>
          <w:marRight w:val="0"/>
          <w:marTop w:val="120"/>
          <w:marBottom w:val="120"/>
          <w:divBdr>
            <w:top w:val="none" w:sz="0" w:space="0" w:color="auto"/>
            <w:left w:val="none" w:sz="0" w:space="0" w:color="auto"/>
            <w:bottom w:val="none" w:sz="0" w:space="0" w:color="auto"/>
            <w:right w:val="none" w:sz="0" w:space="0" w:color="auto"/>
          </w:divBdr>
        </w:div>
        <w:div w:id="1435591157">
          <w:marLeft w:val="547"/>
          <w:marRight w:val="0"/>
          <w:marTop w:val="120"/>
          <w:marBottom w:val="120"/>
          <w:divBdr>
            <w:top w:val="none" w:sz="0" w:space="0" w:color="auto"/>
            <w:left w:val="none" w:sz="0" w:space="0" w:color="auto"/>
            <w:bottom w:val="none" w:sz="0" w:space="0" w:color="auto"/>
            <w:right w:val="none" w:sz="0" w:space="0" w:color="auto"/>
          </w:divBdr>
        </w:div>
        <w:div w:id="1803569405">
          <w:marLeft w:val="547"/>
          <w:marRight w:val="0"/>
          <w:marTop w:val="120"/>
          <w:marBottom w:val="120"/>
          <w:divBdr>
            <w:top w:val="none" w:sz="0" w:space="0" w:color="auto"/>
            <w:left w:val="none" w:sz="0" w:space="0" w:color="auto"/>
            <w:bottom w:val="none" w:sz="0" w:space="0" w:color="auto"/>
            <w:right w:val="none" w:sz="0" w:space="0" w:color="auto"/>
          </w:divBdr>
        </w:div>
      </w:divsChild>
    </w:div>
    <w:div w:id="280188381">
      <w:bodyDiv w:val="1"/>
      <w:marLeft w:val="0"/>
      <w:marRight w:val="0"/>
      <w:marTop w:val="0"/>
      <w:marBottom w:val="0"/>
      <w:divBdr>
        <w:top w:val="none" w:sz="0" w:space="0" w:color="auto"/>
        <w:left w:val="none" w:sz="0" w:space="0" w:color="auto"/>
        <w:bottom w:val="none" w:sz="0" w:space="0" w:color="auto"/>
        <w:right w:val="none" w:sz="0" w:space="0" w:color="auto"/>
      </w:divBdr>
    </w:div>
    <w:div w:id="303046647">
      <w:bodyDiv w:val="1"/>
      <w:marLeft w:val="0"/>
      <w:marRight w:val="0"/>
      <w:marTop w:val="0"/>
      <w:marBottom w:val="0"/>
      <w:divBdr>
        <w:top w:val="none" w:sz="0" w:space="0" w:color="auto"/>
        <w:left w:val="none" w:sz="0" w:space="0" w:color="auto"/>
        <w:bottom w:val="none" w:sz="0" w:space="0" w:color="auto"/>
        <w:right w:val="none" w:sz="0" w:space="0" w:color="auto"/>
      </w:divBdr>
      <w:divsChild>
        <w:div w:id="937760290">
          <w:marLeft w:val="547"/>
          <w:marRight w:val="0"/>
          <w:marTop w:val="77"/>
          <w:marBottom w:val="0"/>
          <w:divBdr>
            <w:top w:val="none" w:sz="0" w:space="0" w:color="auto"/>
            <w:left w:val="none" w:sz="0" w:space="0" w:color="auto"/>
            <w:bottom w:val="none" w:sz="0" w:space="0" w:color="auto"/>
            <w:right w:val="none" w:sz="0" w:space="0" w:color="auto"/>
          </w:divBdr>
        </w:div>
        <w:div w:id="998968341">
          <w:marLeft w:val="547"/>
          <w:marRight w:val="0"/>
          <w:marTop w:val="77"/>
          <w:marBottom w:val="0"/>
          <w:divBdr>
            <w:top w:val="none" w:sz="0" w:space="0" w:color="auto"/>
            <w:left w:val="none" w:sz="0" w:space="0" w:color="auto"/>
            <w:bottom w:val="none" w:sz="0" w:space="0" w:color="auto"/>
            <w:right w:val="none" w:sz="0" w:space="0" w:color="auto"/>
          </w:divBdr>
        </w:div>
      </w:divsChild>
    </w:div>
    <w:div w:id="307905964">
      <w:bodyDiv w:val="1"/>
      <w:marLeft w:val="0"/>
      <w:marRight w:val="0"/>
      <w:marTop w:val="0"/>
      <w:marBottom w:val="0"/>
      <w:divBdr>
        <w:top w:val="none" w:sz="0" w:space="0" w:color="auto"/>
        <w:left w:val="none" w:sz="0" w:space="0" w:color="auto"/>
        <w:bottom w:val="none" w:sz="0" w:space="0" w:color="auto"/>
        <w:right w:val="none" w:sz="0" w:space="0" w:color="auto"/>
      </w:divBdr>
    </w:div>
    <w:div w:id="311296793">
      <w:bodyDiv w:val="1"/>
      <w:marLeft w:val="0"/>
      <w:marRight w:val="0"/>
      <w:marTop w:val="0"/>
      <w:marBottom w:val="0"/>
      <w:divBdr>
        <w:top w:val="none" w:sz="0" w:space="0" w:color="auto"/>
        <w:left w:val="none" w:sz="0" w:space="0" w:color="auto"/>
        <w:bottom w:val="none" w:sz="0" w:space="0" w:color="auto"/>
        <w:right w:val="none" w:sz="0" w:space="0" w:color="auto"/>
      </w:divBdr>
      <w:divsChild>
        <w:div w:id="1423144859">
          <w:marLeft w:val="0"/>
          <w:marRight w:val="0"/>
          <w:marTop w:val="0"/>
          <w:marBottom w:val="0"/>
          <w:divBdr>
            <w:top w:val="none" w:sz="0" w:space="0" w:color="auto"/>
            <w:left w:val="none" w:sz="0" w:space="0" w:color="auto"/>
            <w:bottom w:val="none" w:sz="0" w:space="0" w:color="auto"/>
            <w:right w:val="none" w:sz="0" w:space="0" w:color="auto"/>
          </w:divBdr>
          <w:divsChild>
            <w:div w:id="1698118936">
              <w:marLeft w:val="0"/>
              <w:marRight w:val="0"/>
              <w:marTop w:val="0"/>
              <w:marBottom w:val="0"/>
              <w:divBdr>
                <w:top w:val="none" w:sz="0" w:space="0" w:color="auto"/>
                <w:left w:val="none" w:sz="0" w:space="0" w:color="auto"/>
                <w:bottom w:val="none" w:sz="0" w:space="0" w:color="auto"/>
                <w:right w:val="none" w:sz="0" w:space="0" w:color="auto"/>
              </w:divBdr>
              <w:divsChild>
                <w:div w:id="1472869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730613">
      <w:bodyDiv w:val="1"/>
      <w:marLeft w:val="0"/>
      <w:marRight w:val="0"/>
      <w:marTop w:val="0"/>
      <w:marBottom w:val="0"/>
      <w:divBdr>
        <w:top w:val="none" w:sz="0" w:space="0" w:color="auto"/>
        <w:left w:val="none" w:sz="0" w:space="0" w:color="auto"/>
        <w:bottom w:val="none" w:sz="0" w:space="0" w:color="auto"/>
        <w:right w:val="none" w:sz="0" w:space="0" w:color="auto"/>
      </w:divBdr>
      <w:divsChild>
        <w:div w:id="81922424">
          <w:marLeft w:val="0"/>
          <w:marRight w:val="0"/>
          <w:marTop w:val="0"/>
          <w:marBottom w:val="0"/>
          <w:divBdr>
            <w:top w:val="none" w:sz="0" w:space="0" w:color="auto"/>
            <w:left w:val="none" w:sz="0" w:space="0" w:color="auto"/>
            <w:bottom w:val="none" w:sz="0" w:space="0" w:color="auto"/>
            <w:right w:val="none" w:sz="0" w:space="0" w:color="auto"/>
          </w:divBdr>
        </w:div>
        <w:div w:id="255331965">
          <w:marLeft w:val="0"/>
          <w:marRight w:val="0"/>
          <w:marTop w:val="0"/>
          <w:marBottom w:val="0"/>
          <w:divBdr>
            <w:top w:val="none" w:sz="0" w:space="0" w:color="auto"/>
            <w:left w:val="none" w:sz="0" w:space="0" w:color="auto"/>
            <w:bottom w:val="none" w:sz="0" w:space="0" w:color="auto"/>
            <w:right w:val="none" w:sz="0" w:space="0" w:color="auto"/>
          </w:divBdr>
        </w:div>
        <w:div w:id="662858760">
          <w:marLeft w:val="0"/>
          <w:marRight w:val="0"/>
          <w:marTop w:val="0"/>
          <w:marBottom w:val="0"/>
          <w:divBdr>
            <w:top w:val="none" w:sz="0" w:space="0" w:color="auto"/>
            <w:left w:val="none" w:sz="0" w:space="0" w:color="auto"/>
            <w:bottom w:val="none" w:sz="0" w:space="0" w:color="auto"/>
            <w:right w:val="none" w:sz="0" w:space="0" w:color="auto"/>
          </w:divBdr>
        </w:div>
        <w:div w:id="1014304082">
          <w:marLeft w:val="0"/>
          <w:marRight w:val="0"/>
          <w:marTop w:val="0"/>
          <w:marBottom w:val="0"/>
          <w:divBdr>
            <w:top w:val="none" w:sz="0" w:space="0" w:color="auto"/>
            <w:left w:val="none" w:sz="0" w:space="0" w:color="auto"/>
            <w:bottom w:val="none" w:sz="0" w:space="0" w:color="auto"/>
            <w:right w:val="none" w:sz="0" w:space="0" w:color="auto"/>
          </w:divBdr>
        </w:div>
        <w:div w:id="1156456645">
          <w:marLeft w:val="0"/>
          <w:marRight w:val="0"/>
          <w:marTop w:val="0"/>
          <w:marBottom w:val="0"/>
          <w:divBdr>
            <w:top w:val="none" w:sz="0" w:space="0" w:color="auto"/>
            <w:left w:val="none" w:sz="0" w:space="0" w:color="auto"/>
            <w:bottom w:val="none" w:sz="0" w:space="0" w:color="auto"/>
            <w:right w:val="none" w:sz="0" w:space="0" w:color="auto"/>
          </w:divBdr>
        </w:div>
        <w:div w:id="1710105417">
          <w:marLeft w:val="0"/>
          <w:marRight w:val="0"/>
          <w:marTop w:val="0"/>
          <w:marBottom w:val="0"/>
          <w:divBdr>
            <w:top w:val="none" w:sz="0" w:space="0" w:color="auto"/>
            <w:left w:val="none" w:sz="0" w:space="0" w:color="auto"/>
            <w:bottom w:val="none" w:sz="0" w:space="0" w:color="auto"/>
            <w:right w:val="none" w:sz="0" w:space="0" w:color="auto"/>
          </w:divBdr>
        </w:div>
        <w:div w:id="1776826589">
          <w:marLeft w:val="0"/>
          <w:marRight w:val="0"/>
          <w:marTop w:val="0"/>
          <w:marBottom w:val="0"/>
          <w:divBdr>
            <w:top w:val="none" w:sz="0" w:space="0" w:color="auto"/>
            <w:left w:val="none" w:sz="0" w:space="0" w:color="auto"/>
            <w:bottom w:val="none" w:sz="0" w:space="0" w:color="auto"/>
            <w:right w:val="none" w:sz="0" w:space="0" w:color="auto"/>
          </w:divBdr>
        </w:div>
      </w:divsChild>
    </w:div>
    <w:div w:id="378823945">
      <w:bodyDiv w:val="1"/>
      <w:marLeft w:val="0"/>
      <w:marRight w:val="0"/>
      <w:marTop w:val="0"/>
      <w:marBottom w:val="0"/>
      <w:divBdr>
        <w:top w:val="none" w:sz="0" w:space="0" w:color="auto"/>
        <w:left w:val="none" w:sz="0" w:space="0" w:color="auto"/>
        <w:bottom w:val="none" w:sz="0" w:space="0" w:color="auto"/>
        <w:right w:val="none" w:sz="0" w:space="0" w:color="auto"/>
      </w:divBdr>
      <w:divsChild>
        <w:div w:id="1813600656">
          <w:marLeft w:val="0"/>
          <w:marRight w:val="0"/>
          <w:marTop w:val="0"/>
          <w:marBottom w:val="0"/>
          <w:divBdr>
            <w:top w:val="none" w:sz="0" w:space="0" w:color="auto"/>
            <w:left w:val="none" w:sz="0" w:space="0" w:color="auto"/>
            <w:bottom w:val="none" w:sz="0" w:space="0" w:color="auto"/>
            <w:right w:val="none" w:sz="0" w:space="0" w:color="auto"/>
          </w:divBdr>
        </w:div>
        <w:div w:id="2123187041">
          <w:marLeft w:val="0"/>
          <w:marRight w:val="0"/>
          <w:marTop w:val="0"/>
          <w:marBottom w:val="0"/>
          <w:divBdr>
            <w:top w:val="none" w:sz="0" w:space="0" w:color="auto"/>
            <w:left w:val="none" w:sz="0" w:space="0" w:color="auto"/>
            <w:bottom w:val="none" w:sz="0" w:space="0" w:color="auto"/>
            <w:right w:val="none" w:sz="0" w:space="0" w:color="auto"/>
          </w:divBdr>
        </w:div>
      </w:divsChild>
    </w:div>
    <w:div w:id="401684560">
      <w:bodyDiv w:val="1"/>
      <w:marLeft w:val="0"/>
      <w:marRight w:val="0"/>
      <w:marTop w:val="0"/>
      <w:marBottom w:val="0"/>
      <w:divBdr>
        <w:top w:val="none" w:sz="0" w:space="0" w:color="auto"/>
        <w:left w:val="none" w:sz="0" w:space="0" w:color="auto"/>
        <w:bottom w:val="none" w:sz="0" w:space="0" w:color="auto"/>
        <w:right w:val="none" w:sz="0" w:space="0" w:color="auto"/>
      </w:divBdr>
      <w:divsChild>
        <w:div w:id="261109783">
          <w:marLeft w:val="0"/>
          <w:marRight w:val="0"/>
          <w:marTop w:val="0"/>
          <w:marBottom w:val="0"/>
          <w:divBdr>
            <w:top w:val="none" w:sz="0" w:space="0" w:color="auto"/>
            <w:left w:val="none" w:sz="0" w:space="0" w:color="auto"/>
            <w:bottom w:val="none" w:sz="0" w:space="0" w:color="auto"/>
            <w:right w:val="none" w:sz="0" w:space="0" w:color="auto"/>
          </w:divBdr>
        </w:div>
        <w:div w:id="836386883">
          <w:marLeft w:val="0"/>
          <w:marRight w:val="0"/>
          <w:marTop w:val="0"/>
          <w:marBottom w:val="0"/>
          <w:divBdr>
            <w:top w:val="none" w:sz="0" w:space="0" w:color="auto"/>
            <w:left w:val="none" w:sz="0" w:space="0" w:color="auto"/>
            <w:bottom w:val="none" w:sz="0" w:space="0" w:color="auto"/>
            <w:right w:val="none" w:sz="0" w:space="0" w:color="auto"/>
          </w:divBdr>
        </w:div>
        <w:div w:id="1641224975">
          <w:marLeft w:val="0"/>
          <w:marRight w:val="0"/>
          <w:marTop w:val="0"/>
          <w:marBottom w:val="0"/>
          <w:divBdr>
            <w:top w:val="none" w:sz="0" w:space="0" w:color="auto"/>
            <w:left w:val="none" w:sz="0" w:space="0" w:color="auto"/>
            <w:bottom w:val="none" w:sz="0" w:space="0" w:color="auto"/>
            <w:right w:val="none" w:sz="0" w:space="0" w:color="auto"/>
          </w:divBdr>
        </w:div>
        <w:div w:id="1663895728">
          <w:marLeft w:val="0"/>
          <w:marRight w:val="0"/>
          <w:marTop w:val="0"/>
          <w:marBottom w:val="0"/>
          <w:divBdr>
            <w:top w:val="none" w:sz="0" w:space="0" w:color="auto"/>
            <w:left w:val="none" w:sz="0" w:space="0" w:color="auto"/>
            <w:bottom w:val="none" w:sz="0" w:space="0" w:color="auto"/>
            <w:right w:val="none" w:sz="0" w:space="0" w:color="auto"/>
          </w:divBdr>
        </w:div>
        <w:div w:id="1697611248">
          <w:marLeft w:val="0"/>
          <w:marRight w:val="0"/>
          <w:marTop w:val="0"/>
          <w:marBottom w:val="0"/>
          <w:divBdr>
            <w:top w:val="none" w:sz="0" w:space="0" w:color="auto"/>
            <w:left w:val="none" w:sz="0" w:space="0" w:color="auto"/>
            <w:bottom w:val="none" w:sz="0" w:space="0" w:color="auto"/>
            <w:right w:val="none" w:sz="0" w:space="0" w:color="auto"/>
          </w:divBdr>
        </w:div>
        <w:div w:id="1894461311">
          <w:marLeft w:val="0"/>
          <w:marRight w:val="0"/>
          <w:marTop w:val="0"/>
          <w:marBottom w:val="0"/>
          <w:divBdr>
            <w:top w:val="none" w:sz="0" w:space="0" w:color="auto"/>
            <w:left w:val="none" w:sz="0" w:space="0" w:color="auto"/>
            <w:bottom w:val="none" w:sz="0" w:space="0" w:color="auto"/>
            <w:right w:val="none" w:sz="0" w:space="0" w:color="auto"/>
          </w:divBdr>
        </w:div>
      </w:divsChild>
    </w:div>
    <w:div w:id="405609324">
      <w:bodyDiv w:val="1"/>
      <w:marLeft w:val="0"/>
      <w:marRight w:val="0"/>
      <w:marTop w:val="0"/>
      <w:marBottom w:val="0"/>
      <w:divBdr>
        <w:top w:val="none" w:sz="0" w:space="0" w:color="auto"/>
        <w:left w:val="none" w:sz="0" w:space="0" w:color="auto"/>
        <w:bottom w:val="none" w:sz="0" w:space="0" w:color="auto"/>
        <w:right w:val="none" w:sz="0" w:space="0" w:color="auto"/>
      </w:divBdr>
    </w:div>
    <w:div w:id="406076477">
      <w:bodyDiv w:val="1"/>
      <w:marLeft w:val="0"/>
      <w:marRight w:val="0"/>
      <w:marTop w:val="0"/>
      <w:marBottom w:val="0"/>
      <w:divBdr>
        <w:top w:val="none" w:sz="0" w:space="0" w:color="auto"/>
        <w:left w:val="none" w:sz="0" w:space="0" w:color="auto"/>
        <w:bottom w:val="none" w:sz="0" w:space="0" w:color="auto"/>
        <w:right w:val="none" w:sz="0" w:space="0" w:color="auto"/>
      </w:divBdr>
      <w:divsChild>
        <w:div w:id="587154766">
          <w:marLeft w:val="0"/>
          <w:marRight w:val="0"/>
          <w:marTop w:val="0"/>
          <w:marBottom w:val="0"/>
          <w:divBdr>
            <w:top w:val="none" w:sz="0" w:space="0" w:color="auto"/>
            <w:left w:val="none" w:sz="0" w:space="0" w:color="auto"/>
            <w:bottom w:val="none" w:sz="0" w:space="0" w:color="auto"/>
            <w:right w:val="none" w:sz="0" w:space="0" w:color="auto"/>
          </w:divBdr>
        </w:div>
        <w:div w:id="1565262078">
          <w:marLeft w:val="0"/>
          <w:marRight w:val="0"/>
          <w:marTop w:val="0"/>
          <w:marBottom w:val="0"/>
          <w:divBdr>
            <w:top w:val="none" w:sz="0" w:space="0" w:color="auto"/>
            <w:left w:val="none" w:sz="0" w:space="0" w:color="auto"/>
            <w:bottom w:val="none" w:sz="0" w:space="0" w:color="auto"/>
            <w:right w:val="none" w:sz="0" w:space="0" w:color="auto"/>
          </w:divBdr>
        </w:div>
      </w:divsChild>
    </w:div>
    <w:div w:id="411239662">
      <w:bodyDiv w:val="1"/>
      <w:marLeft w:val="0"/>
      <w:marRight w:val="0"/>
      <w:marTop w:val="0"/>
      <w:marBottom w:val="0"/>
      <w:divBdr>
        <w:top w:val="none" w:sz="0" w:space="0" w:color="auto"/>
        <w:left w:val="none" w:sz="0" w:space="0" w:color="auto"/>
        <w:bottom w:val="none" w:sz="0" w:space="0" w:color="auto"/>
        <w:right w:val="none" w:sz="0" w:space="0" w:color="auto"/>
      </w:divBdr>
      <w:divsChild>
        <w:div w:id="103158201">
          <w:marLeft w:val="0"/>
          <w:marRight w:val="0"/>
          <w:marTop w:val="0"/>
          <w:marBottom w:val="0"/>
          <w:divBdr>
            <w:top w:val="none" w:sz="0" w:space="0" w:color="auto"/>
            <w:left w:val="none" w:sz="0" w:space="0" w:color="auto"/>
            <w:bottom w:val="none" w:sz="0" w:space="0" w:color="auto"/>
            <w:right w:val="none" w:sz="0" w:space="0" w:color="auto"/>
          </w:divBdr>
        </w:div>
        <w:div w:id="162478838">
          <w:marLeft w:val="0"/>
          <w:marRight w:val="0"/>
          <w:marTop w:val="0"/>
          <w:marBottom w:val="0"/>
          <w:divBdr>
            <w:top w:val="none" w:sz="0" w:space="0" w:color="auto"/>
            <w:left w:val="none" w:sz="0" w:space="0" w:color="auto"/>
            <w:bottom w:val="none" w:sz="0" w:space="0" w:color="auto"/>
            <w:right w:val="none" w:sz="0" w:space="0" w:color="auto"/>
          </w:divBdr>
        </w:div>
        <w:div w:id="254214695">
          <w:marLeft w:val="0"/>
          <w:marRight w:val="0"/>
          <w:marTop w:val="0"/>
          <w:marBottom w:val="0"/>
          <w:divBdr>
            <w:top w:val="none" w:sz="0" w:space="0" w:color="auto"/>
            <w:left w:val="none" w:sz="0" w:space="0" w:color="auto"/>
            <w:bottom w:val="none" w:sz="0" w:space="0" w:color="auto"/>
            <w:right w:val="none" w:sz="0" w:space="0" w:color="auto"/>
          </w:divBdr>
        </w:div>
        <w:div w:id="624582982">
          <w:marLeft w:val="0"/>
          <w:marRight w:val="0"/>
          <w:marTop w:val="0"/>
          <w:marBottom w:val="0"/>
          <w:divBdr>
            <w:top w:val="none" w:sz="0" w:space="0" w:color="auto"/>
            <w:left w:val="none" w:sz="0" w:space="0" w:color="auto"/>
            <w:bottom w:val="none" w:sz="0" w:space="0" w:color="auto"/>
            <w:right w:val="none" w:sz="0" w:space="0" w:color="auto"/>
          </w:divBdr>
        </w:div>
        <w:div w:id="778064371">
          <w:marLeft w:val="0"/>
          <w:marRight w:val="0"/>
          <w:marTop w:val="0"/>
          <w:marBottom w:val="0"/>
          <w:divBdr>
            <w:top w:val="none" w:sz="0" w:space="0" w:color="auto"/>
            <w:left w:val="none" w:sz="0" w:space="0" w:color="auto"/>
            <w:bottom w:val="none" w:sz="0" w:space="0" w:color="auto"/>
            <w:right w:val="none" w:sz="0" w:space="0" w:color="auto"/>
          </w:divBdr>
        </w:div>
        <w:div w:id="1231304762">
          <w:marLeft w:val="0"/>
          <w:marRight w:val="0"/>
          <w:marTop w:val="0"/>
          <w:marBottom w:val="0"/>
          <w:divBdr>
            <w:top w:val="none" w:sz="0" w:space="0" w:color="auto"/>
            <w:left w:val="none" w:sz="0" w:space="0" w:color="auto"/>
            <w:bottom w:val="none" w:sz="0" w:space="0" w:color="auto"/>
            <w:right w:val="none" w:sz="0" w:space="0" w:color="auto"/>
          </w:divBdr>
        </w:div>
        <w:div w:id="1407923882">
          <w:marLeft w:val="0"/>
          <w:marRight w:val="0"/>
          <w:marTop w:val="0"/>
          <w:marBottom w:val="0"/>
          <w:divBdr>
            <w:top w:val="none" w:sz="0" w:space="0" w:color="auto"/>
            <w:left w:val="none" w:sz="0" w:space="0" w:color="auto"/>
            <w:bottom w:val="none" w:sz="0" w:space="0" w:color="auto"/>
            <w:right w:val="none" w:sz="0" w:space="0" w:color="auto"/>
          </w:divBdr>
        </w:div>
        <w:div w:id="1533611243">
          <w:marLeft w:val="0"/>
          <w:marRight w:val="0"/>
          <w:marTop w:val="0"/>
          <w:marBottom w:val="0"/>
          <w:divBdr>
            <w:top w:val="none" w:sz="0" w:space="0" w:color="auto"/>
            <w:left w:val="none" w:sz="0" w:space="0" w:color="auto"/>
            <w:bottom w:val="none" w:sz="0" w:space="0" w:color="auto"/>
            <w:right w:val="none" w:sz="0" w:space="0" w:color="auto"/>
          </w:divBdr>
        </w:div>
        <w:div w:id="2093773117">
          <w:marLeft w:val="0"/>
          <w:marRight w:val="0"/>
          <w:marTop w:val="0"/>
          <w:marBottom w:val="0"/>
          <w:divBdr>
            <w:top w:val="none" w:sz="0" w:space="0" w:color="auto"/>
            <w:left w:val="none" w:sz="0" w:space="0" w:color="auto"/>
            <w:bottom w:val="none" w:sz="0" w:space="0" w:color="auto"/>
            <w:right w:val="none" w:sz="0" w:space="0" w:color="auto"/>
          </w:divBdr>
        </w:div>
      </w:divsChild>
    </w:div>
    <w:div w:id="430205608">
      <w:bodyDiv w:val="1"/>
      <w:marLeft w:val="0"/>
      <w:marRight w:val="0"/>
      <w:marTop w:val="0"/>
      <w:marBottom w:val="0"/>
      <w:divBdr>
        <w:top w:val="none" w:sz="0" w:space="0" w:color="auto"/>
        <w:left w:val="none" w:sz="0" w:space="0" w:color="auto"/>
        <w:bottom w:val="none" w:sz="0" w:space="0" w:color="auto"/>
        <w:right w:val="none" w:sz="0" w:space="0" w:color="auto"/>
      </w:divBdr>
      <w:divsChild>
        <w:div w:id="351032650">
          <w:marLeft w:val="0"/>
          <w:marRight w:val="0"/>
          <w:marTop w:val="0"/>
          <w:marBottom w:val="0"/>
          <w:divBdr>
            <w:top w:val="none" w:sz="0" w:space="0" w:color="auto"/>
            <w:left w:val="none" w:sz="0" w:space="0" w:color="auto"/>
            <w:bottom w:val="none" w:sz="0" w:space="0" w:color="auto"/>
            <w:right w:val="none" w:sz="0" w:space="0" w:color="auto"/>
          </w:divBdr>
          <w:divsChild>
            <w:div w:id="1612586967">
              <w:marLeft w:val="0"/>
              <w:marRight w:val="0"/>
              <w:marTop w:val="0"/>
              <w:marBottom w:val="0"/>
              <w:divBdr>
                <w:top w:val="none" w:sz="0" w:space="0" w:color="auto"/>
                <w:left w:val="none" w:sz="0" w:space="0" w:color="auto"/>
                <w:bottom w:val="none" w:sz="0" w:space="0" w:color="auto"/>
                <w:right w:val="none" w:sz="0" w:space="0" w:color="auto"/>
              </w:divBdr>
              <w:divsChild>
                <w:div w:id="152713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5151257">
      <w:bodyDiv w:val="1"/>
      <w:marLeft w:val="0"/>
      <w:marRight w:val="0"/>
      <w:marTop w:val="0"/>
      <w:marBottom w:val="0"/>
      <w:divBdr>
        <w:top w:val="none" w:sz="0" w:space="0" w:color="auto"/>
        <w:left w:val="none" w:sz="0" w:space="0" w:color="auto"/>
        <w:bottom w:val="none" w:sz="0" w:space="0" w:color="auto"/>
        <w:right w:val="none" w:sz="0" w:space="0" w:color="auto"/>
      </w:divBdr>
      <w:divsChild>
        <w:div w:id="76564521">
          <w:marLeft w:val="0"/>
          <w:marRight w:val="0"/>
          <w:marTop w:val="0"/>
          <w:marBottom w:val="0"/>
          <w:divBdr>
            <w:top w:val="none" w:sz="0" w:space="0" w:color="auto"/>
            <w:left w:val="none" w:sz="0" w:space="0" w:color="auto"/>
            <w:bottom w:val="none" w:sz="0" w:space="0" w:color="auto"/>
            <w:right w:val="none" w:sz="0" w:space="0" w:color="auto"/>
          </w:divBdr>
        </w:div>
        <w:div w:id="234433279">
          <w:marLeft w:val="0"/>
          <w:marRight w:val="0"/>
          <w:marTop w:val="0"/>
          <w:marBottom w:val="0"/>
          <w:divBdr>
            <w:top w:val="none" w:sz="0" w:space="0" w:color="auto"/>
            <w:left w:val="none" w:sz="0" w:space="0" w:color="auto"/>
            <w:bottom w:val="none" w:sz="0" w:space="0" w:color="auto"/>
            <w:right w:val="none" w:sz="0" w:space="0" w:color="auto"/>
          </w:divBdr>
        </w:div>
        <w:div w:id="339746789">
          <w:marLeft w:val="0"/>
          <w:marRight w:val="0"/>
          <w:marTop w:val="0"/>
          <w:marBottom w:val="0"/>
          <w:divBdr>
            <w:top w:val="none" w:sz="0" w:space="0" w:color="auto"/>
            <w:left w:val="none" w:sz="0" w:space="0" w:color="auto"/>
            <w:bottom w:val="none" w:sz="0" w:space="0" w:color="auto"/>
            <w:right w:val="none" w:sz="0" w:space="0" w:color="auto"/>
          </w:divBdr>
        </w:div>
        <w:div w:id="515971888">
          <w:marLeft w:val="0"/>
          <w:marRight w:val="0"/>
          <w:marTop w:val="0"/>
          <w:marBottom w:val="0"/>
          <w:divBdr>
            <w:top w:val="none" w:sz="0" w:space="0" w:color="auto"/>
            <w:left w:val="none" w:sz="0" w:space="0" w:color="auto"/>
            <w:bottom w:val="none" w:sz="0" w:space="0" w:color="auto"/>
            <w:right w:val="none" w:sz="0" w:space="0" w:color="auto"/>
          </w:divBdr>
        </w:div>
        <w:div w:id="598371538">
          <w:marLeft w:val="0"/>
          <w:marRight w:val="0"/>
          <w:marTop w:val="0"/>
          <w:marBottom w:val="0"/>
          <w:divBdr>
            <w:top w:val="none" w:sz="0" w:space="0" w:color="auto"/>
            <w:left w:val="none" w:sz="0" w:space="0" w:color="auto"/>
            <w:bottom w:val="none" w:sz="0" w:space="0" w:color="auto"/>
            <w:right w:val="none" w:sz="0" w:space="0" w:color="auto"/>
          </w:divBdr>
        </w:div>
        <w:div w:id="1099719231">
          <w:marLeft w:val="0"/>
          <w:marRight w:val="0"/>
          <w:marTop w:val="0"/>
          <w:marBottom w:val="0"/>
          <w:divBdr>
            <w:top w:val="none" w:sz="0" w:space="0" w:color="auto"/>
            <w:left w:val="none" w:sz="0" w:space="0" w:color="auto"/>
            <w:bottom w:val="none" w:sz="0" w:space="0" w:color="auto"/>
            <w:right w:val="none" w:sz="0" w:space="0" w:color="auto"/>
          </w:divBdr>
        </w:div>
        <w:div w:id="1477642018">
          <w:marLeft w:val="0"/>
          <w:marRight w:val="0"/>
          <w:marTop w:val="0"/>
          <w:marBottom w:val="0"/>
          <w:divBdr>
            <w:top w:val="none" w:sz="0" w:space="0" w:color="auto"/>
            <w:left w:val="none" w:sz="0" w:space="0" w:color="auto"/>
            <w:bottom w:val="none" w:sz="0" w:space="0" w:color="auto"/>
            <w:right w:val="none" w:sz="0" w:space="0" w:color="auto"/>
          </w:divBdr>
        </w:div>
        <w:div w:id="1499803686">
          <w:marLeft w:val="0"/>
          <w:marRight w:val="0"/>
          <w:marTop w:val="0"/>
          <w:marBottom w:val="0"/>
          <w:divBdr>
            <w:top w:val="none" w:sz="0" w:space="0" w:color="auto"/>
            <w:left w:val="none" w:sz="0" w:space="0" w:color="auto"/>
            <w:bottom w:val="none" w:sz="0" w:space="0" w:color="auto"/>
            <w:right w:val="none" w:sz="0" w:space="0" w:color="auto"/>
          </w:divBdr>
        </w:div>
      </w:divsChild>
    </w:div>
    <w:div w:id="450637273">
      <w:bodyDiv w:val="1"/>
      <w:marLeft w:val="0"/>
      <w:marRight w:val="0"/>
      <w:marTop w:val="0"/>
      <w:marBottom w:val="0"/>
      <w:divBdr>
        <w:top w:val="none" w:sz="0" w:space="0" w:color="auto"/>
        <w:left w:val="none" w:sz="0" w:space="0" w:color="auto"/>
        <w:bottom w:val="none" w:sz="0" w:space="0" w:color="auto"/>
        <w:right w:val="none" w:sz="0" w:space="0" w:color="auto"/>
      </w:divBdr>
      <w:divsChild>
        <w:div w:id="29494657">
          <w:marLeft w:val="0"/>
          <w:marRight w:val="0"/>
          <w:marTop w:val="0"/>
          <w:marBottom w:val="0"/>
          <w:divBdr>
            <w:top w:val="none" w:sz="0" w:space="0" w:color="auto"/>
            <w:left w:val="none" w:sz="0" w:space="0" w:color="auto"/>
            <w:bottom w:val="none" w:sz="0" w:space="0" w:color="auto"/>
            <w:right w:val="none" w:sz="0" w:space="0" w:color="auto"/>
          </w:divBdr>
        </w:div>
        <w:div w:id="352532066">
          <w:marLeft w:val="0"/>
          <w:marRight w:val="0"/>
          <w:marTop w:val="0"/>
          <w:marBottom w:val="0"/>
          <w:divBdr>
            <w:top w:val="none" w:sz="0" w:space="0" w:color="auto"/>
            <w:left w:val="none" w:sz="0" w:space="0" w:color="auto"/>
            <w:bottom w:val="none" w:sz="0" w:space="0" w:color="auto"/>
            <w:right w:val="none" w:sz="0" w:space="0" w:color="auto"/>
          </w:divBdr>
        </w:div>
        <w:div w:id="522744664">
          <w:marLeft w:val="0"/>
          <w:marRight w:val="0"/>
          <w:marTop w:val="0"/>
          <w:marBottom w:val="0"/>
          <w:divBdr>
            <w:top w:val="none" w:sz="0" w:space="0" w:color="auto"/>
            <w:left w:val="none" w:sz="0" w:space="0" w:color="auto"/>
            <w:bottom w:val="none" w:sz="0" w:space="0" w:color="auto"/>
            <w:right w:val="none" w:sz="0" w:space="0" w:color="auto"/>
          </w:divBdr>
        </w:div>
        <w:div w:id="570966689">
          <w:marLeft w:val="0"/>
          <w:marRight w:val="0"/>
          <w:marTop w:val="0"/>
          <w:marBottom w:val="0"/>
          <w:divBdr>
            <w:top w:val="none" w:sz="0" w:space="0" w:color="auto"/>
            <w:left w:val="none" w:sz="0" w:space="0" w:color="auto"/>
            <w:bottom w:val="none" w:sz="0" w:space="0" w:color="auto"/>
            <w:right w:val="none" w:sz="0" w:space="0" w:color="auto"/>
          </w:divBdr>
        </w:div>
        <w:div w:id="661931087">
          <w:marLeft w:val="0"/>
          <w:marRight w:val="0"/>
          <w:marTop w:val="0"/>
          <w:marBottom w:val="0"/>
          <w:divBdr>
            <w:top w:val="none" w:sz="0" w:space="0" w:color="auto"/>
            <w:left w:val="none" w:sz="0" w:space="0" w:color="auto"/>
            <w:bottom w:val="none" w:sz="0" w:space="0" w:color="auto"/>
            <w:right w:val="none" w:sz="0" w:space="0" w:color="auto"/>
          </w:divBdr>
        </w:div>
        <w:div w:id="681971864">
          <w:marLeft w:val="0"/>
          <w:marRight w:val="0"/>
          <w:marTop w:val="0"/>
          <w:marBottom w:val="0"/>
          <w:divBdr>
            <w:top w:val="none" w:sz="0" w:space="0" w:color="auto"/>
            <w:left w:val="none" w:sz="0" w:space="0" w:color="auto"/>
            <w:bottom w:val="none" w:sz="0" w:space="0" w:color="auto"/>
            <w:right w:val="none" w:sz="0" w:space="0" w:color="auto"/>
          </w:divBdr>
        </w:div>
        <w:div w:id="695430066">
          <w:marLeft w:val="0"/>
          <w:marRight w:val="0"/>
          <w:marTop w:val="0"/>
          <w:marBottom w:val="0"/>
          <w:divBdr>
            <w:top w:val="none" w:sz="0" w:space="0" w:color="auto"/>
            <w:left w:val="none" w:sz="0" w:space="0" w:color="auto"/>
            <w:bottom w:val="none" w:sz="0" w:space="0" w:color="auto"/>
            <w:right w:val="none" w:sz="0" w:space="0" w:color="auto"/>
          </w:divBdr>
        </w:div>
        <w:div w:id="737627891">
          <w:marLeft w:val="0"/>
          <w:marRight w:val="0"/>
          <w:marTop w:val="0"/>
          <w:marBottom w:val="0"/>
          <w:divBdr>
            <w:top w:val="none" w:sz="0" w:space="0" w:color="auto"/>
            <w:left w:val="none" w:sz="0" w:space="0" w:color="auto"/>
            <w:bottom w:val="none" w:sz="0" w:space="0" w:color="auto"/>
            <w:right w:val="none" w:sz="0" w:space="0" w:color="auto"/>
          </w:divBdr>
        </w:div>
        <w:div w:id="800877461">
          <w:marLeft w:val="0"/>
          <w:marRight w:val="0"/>
          <w:marTop w:val="0"/>
          <w:marBottom w:val="0"/>
          <w:divBdr>
            <w:top w:val="none" w:sz="0" w:space="0" w:color="auto"/>
            <w:left w:val="none" w:sz="0" w:space="0" w:color="auto"/>
            <w:bottom w:val="none" w:sz="0" w:space="0" w:color="auto"/>
            <w:right w:val="none" w:sz="0" w:space="0" w:color="auto"/>
          </w:divBdr>
        </w:div>
        <w:div w:id="1360164108">
          <w:marLeft w:val="0"/>
          <w:marRight w:val="0"/>
          <w:marTop w:val="0"/>
          <w:marBottom w:val="0"/>
          <w:divBdr>
            <w:top w:val="none" w:sz="0" w:space="0" w:color="auto"/>
            <w:left w:val="none" w:sz="0" w:space="0" w:color="auto"/>
            <w:bottom w:val="none" w:sz="0" w:space="0" w:color="auto"/>
            <w:right w:val="none" w:sz="0" w:space="0" w:color="auto"/>
          </w:divBdr>
        </w:div>
        <w:div w:id="1509322623">
          <w:marLeft w:val="0"/>
          <w:marRight w:val="0"/>
          <w:marTop w:val="0"/>
          <w:marBottom w:val="0"/>
          <w:divBdr>
            <w:top w:val="none" w:sz="0" w:space="0" w:color="auto"/>
            <w:left w:val="none" w:sz="0" w:space="0" w:color="auto"/>
            <w:bottom w:val="none" w:sz="0" w:space="0" w:color="auto"/>
            <w:right w:val="none" w:sz="0" w:space="0" w:color="auto"/>
          </w:divBdr>
        </w:div>
        <w:div w:id="1538078361">
          <w:marLeft w:val="0"/>
          <w:marRight w:val="0"/>
          <w:marTop w:val="0"/>
          <w:marBottom w:val="0"/>
          <w:divBdr>
            <w:top w:val="none" w:sz="0" w:space="0" w:color="auto"/>
            <w:left w:val="none" w:sz="0" w:space="0" w:color="auto"/>
            <w:bottom w:val="none" w:sz="0" w:space="0" w:color="auto"/>
            <w:right w:val="none" w:sz="0" w:space="0" w:color="auto"/>
          </w:divBdr>
        </w:div>
        <w:div w:id="1776709511">
          <w:marLeft w:val="0"/>
          <w:marRight w:val="0"/>
          <w:marTop w:val="0"/>
          <w:marBottom w:val="0"/>
          <w:divBdr>
            <w:top w:val="none" w:sz="0" w:space="0" w:color="auto"/>
            <w:left w:val="none" w:sz="0" w:space="0" w:color="auto"/>
            <w:bottom w:val="none" w:sz="0" w:space="0" w:color="auto"/>
            <w:right w:val="none" w:sz="0" w:space="0" w:color="auto"/>
          </w:divBdr>
        </w:div>
        <w:div w:id="1838298636">
          <w:marLeft w:val="0"/>
          <w:marRight w:val="0"/>
          <w:marTop w:val="0"/>
          <w:marBottom w:val="0"/>
          <w:divBdr>
            <w:top w:val="none" w:sz="0" w:space="0" w:color="auto"/>
            <w:left w:val="none" w:sz="0" w:space="0" w:color="auto"/>
            <w:bottom w:val="none" w:sz="0" w:space="0" w:color="auto"/>
            <w:right w:val="none" w:sz="0" w:space="0" w:color="auto"/>
          </w:divBdr>
        </w:div>
        <w:div w:id="1950044094">
          <w:marLeft w:val="0"/>
          <w:marRight w:val="0"/>
          <w:marTop w:val="0"/>
          <w:marBottom w:val="0"/>
          <w:divBdr>
            <w:top w:val="none" w:sz="0" w:space="0" w:color="auto"/>
            <w:left w:val="none" w:sz="0" w:space="0" w:color="auto"/>
            <w:bottom w:val="none" w:sz="0" w:space="0" w:color="auto"/>
            <w:right w:val="none" w:sz="0" w:space="0" w:color="auto"/>
          </w:divBdr>
        </w:div>
      </w:divsChild>
    </w:div>
    <w:div w:id="489560197">
      <w:bodyDiv w:val="1"/>
      <w:marLeft w:val="0"/>
      <w:marRight w:val="0"/>
      <w:marTop w:val="0"/>
      <w:marBottom w:val="0"/>
      <w:divBdr>
        <w:top w:val="none" w:sz="0" w:space="0" w:color="auto"/>
        <w:left w:val="none" w:sz="0" w:space="0" w:color="auto"/>
        <w:bottom w:val="none" w:sz="0" w:space="0" w:color="auto"/>
        <w:right w:val="none" w:sz="0" w:space="0" w:color="auto"/>
      </w:divBdr>
      <w:divsChild>
        <w:div w:id="174422657">
          <w:marLeft w:val="1166"/>
          <w:marRight w:val="0"/>
          <w:marTop w:val="120"/>
          <w:marBottom w:val="120"/>
          <w:divBdr>
            <w:top w:val="none" w:sz="0" w:space="0" w:color="auto"/>
            <w:left w:val="none" w:sz="0" w:space="0" w:color="auto"/>
            <w:bottom w:val="none" w:sz="0" w:space="0" w:color="auto"/>
            <w:right w:val="none" w:sz="0" w:space="0" w:color="auto"/>
          </w:divBdr>
        </w:div>
        <w:div w:id="1134831647">
          <w:marLeft w:val="1166"/>
          <w:marRight w:val="0"/>
          <w:marTop w:val="120"/>
          <w:marBottom w:val="120"/>
          <w:divBdr>
            <w:top w:val="none" w:sz="0" w:space="0" w:color="auto"/>
            <w:left w:val="none" w:sz="0" w:space="0" w:color="auto"/>
            <w:bottom w:val="none" w:sz="0" w:space="0" w:color="auto"/>
            <w:right w:val="none" w:sz="0" w:space="0" w:color="auto"/>
          </w:divBdr>
        </w:div>
        <w:div w:id="1271814365">
          <w:marLeft w:val="547"/>
          <w:marRight w:val="0"/>
          <w:marTop w:val="96"/>
          <w:marBottom w:val="0"/>
          <w:divBdr>
            <w:top w:val="none" w:sz="0" w:space="0" w:color="auto"/>
            <w:left w:val="none" w:sz="0" w:space="0" w:color="auto"/>
            <w:bottom w:val="none" w:sz="0" w:space="0" w:color="auto"/>
            <w:right w:val="none" w:sz="0" w:space="0" w:color="auto"/>
          </w:divBdr>
        </w:div>
        <w:div w:id="1367173925">
          <w:marLeft w:val="1166"/>
          <w:marRight w:val="0"/>
          <w:marTop w:val="120"/>
          <w:marBottom w:val="120"/>
          <w:divBdr>
            <w:top w:val="none" w:sz="0" w:space="0" w:color="auto"/>
            <w:left w:val="none" w:sz="0" w:space="0" w:color="auto"/>
            <w:bottom w:val="none" w:sz="0" w:space="0" w:color="auto"/>
            <w:right w:val="none" w:sz="0" w:space="0" w:color="auto"/>
          </w:divBdr>
        </w:div>
      </w:divsChild>
    </w:div>
    <w:div w:id="530873962">
      <w:bodyDiv w:val="1"/>
      <w:marLeft w:val="0"/>
      <w:marRight w:val="0"/>
      <w:marTop w:val="0"/>
      <w:marBottom w:val="0"/>
      <w:divBdr>
        <w:top w:val="none" w:sz="0" w:space="0" w:color="auto"/>
        <w:left w:val="none" w:sz="0" w:space="0" w:color="auto"/>
        <w:bottom w:val="none" w:sz="0" w:space="0" w:color="auto"/>
        <w:right w:val="none" w:sz="0" w:space="0" w:color="auto"/>
      </w:divBdr>
      <w:divsChild>
        <w:div w:id="41909611">
          <w:marLeft w:val="0"/>
          <w:marRight w:val="0"/>
          <w:marTop w:val="0"/>
          <w:marBottom w:val="0"/>
          <w:divBdr>
            <w:top w:val="none" w:sz="0" w:space="0" w:color="auto"/>
            <w:left w:val="none" w:sz="0" w:space="0" w:color="auto"/>
            <w:bottom w:val="none" w:sz="0" w:space="0" w:color="auto"/>
            <w:right w:val="none" w:sz="0" w:space="0" w:color="auto"/>
          </w:divBdr>
          <w:divsChild>
            <w:div w:id="889416011">
              <w:marLeft w:val="0"/>
              <w:marRight w:val="0"/>
              <w:marTop w:val="0"/>
              <w:marBottom w:val="0"/>
              <w:divBdr>
                <w:top w:val="none" w:sz="0" w:space="0" w:color="auto"/>
                <w:left w:val="none" w:sz="0" w:space="0" w:color="auto"/>
                <w:bottom w:val="none" w:sz="0" w:space="0" w:color="auto"/>
                <w:right w:val="none" w:sz="0" w:space="0" w:color="auto"/>
              </w:divBdr>
              <w:divsChild>
                <w:div w:id="161220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556275">
      <w:bodyDiv w:val="1"/>
      <w:marLeft w:val="0"/>
      <w:marRight w:val="0"/>
      <w:marTop w:val="0"/>
      <w:marBottom w:val="0"/>
      <w:divBdr>
        <w:top w:val="none" w:sz="0" w:space="0" w:color="auto"/>
        <w:left w:val="none" w:sz="0" w:space="0" w:color="auto"/>
        <w:bottom w:val="none" w:sz="0" w:space="0" w:color="auto"/>
        <w:right w:val="none" w:sz="0" w:space="0" w:color="auto"/>
      </w:divBdr>
    </w:div>
    <w:div w:id="564489638">
      <w:bodyDiv w:val="1"/>
      <w:marLeft w:val="0"/>
      <w:marRight w:val="0"/>
      <w:marTop w:val="0"/>
      <w:marBottom w:val="0"/>
      <w:divBdr>
        <w:top w:val="none" w:sz="0" w:space="0" w:color="auto"/>
        <w:left w:val="none" w:sz="0" w:space="0" w:color="auto"/>
        <w:bottom w:val="none" w:sz="0" w:space="0" w:color="auto"/>
        <w:right w:val="none" w:sz="0" w:space="0" w:color="auto"/>
      </w:divBdr>
      <w:divsChild>
        <w:div w:id="1843201267">
          <w:marLeft w:val="0"/>
          <w:marRight w:val="0"/>
          <w:marTop w:val="0"/>
          <w:marBottom w:val="0"/>
          <w:divBdr>
            <w:top w:val="none" w:sz="0" w:space="0" w:color="auto"/>
            <w:left w:val="none" w:sz="0" w:space="0" w:color="auto"/>
            <w:bottom w:val="none" w:sz="0" w:space="0" w:color="auto"/>
            <w:right w:val="none" w:sz="0" w:space="0" w:color="auto"/>
          </w:divBdr>
        </w:div>
        <w:div w:id="1950121940">
          <w:marLeft w:val="0"/>
          <w:marRight w:val="0"/>
          <w:marTop w:val="0"/>
          <w:marBottom w:val="0"/>
          <w:divBdr>
            <w:top w:val="none" w:sz="0" w:space="0" w:color="auto"/>
            <w:left w:val="none" w:sz="0" w:space="0" w:color="auto"/>
            <w:bottom w:val="none" w:sz="0" w:space="0" w:color="auto"/>
            <w:right w:val="none" w:sz="0" w:space="0" w:color="auto"/>
          </w:divBdr>
        </w:div>
        <w:div w:id="1954165219">
          <w:marLeft w:val="0"/>
          <w:marRight w:val="0"/>
          <w:marTop w:val="0"/>
          <w:marBottom w:val="0"/>
          <w:divBdr>
            <w:top w:val="none" w:sz="0" w:space="0" w:color="auto"/>
            <w:left w:val="none" w:sz="0" w:space="0" w:color="auto"/>
            <w:bottom w:val="none" w:sz="0" w:space="0" w:color="auto"/>
            <w:right w:val="none" w:sz="0" w:space="0" w:color="auto"/>
          </w:divBdr>
        </w:div>
      </w:divsChild>
    </w:div>
    <w:div w:id="590817067">
      <w:bodyDiv w:val="1"/>
      <w:marLeft w:val="0"/>
      <w:marRight w:val="0"/>
      <w:marTop w:val="0"/>
      <w:marBottom w:val="0"/>
      <w:divBdr>
        <w:top w:val="none" w:sz="0" w:space="0" w:color="auto"/>
        <w:left w:val="none" w:sz="0" w:space="0" w:color="auto"/>
        <w:bottom w:val="none" w:sz="0" w:space="0" w:color="auto"/>
        <w:right w:val="none" w:sz="0" w:space="0" w:color="auto"/>
      </w:divBdr>
      <w:divsChild>
        <w:div w:id="1621378351">
          <w:marLeft w:val="0"/>
          <w:marRight w:val="0"/>
          <w:marTop w:val="0"/>
          <w:marBottom w:val="0"/>
          <w:divBdr>
            <w:top w:val="none" w:sz="0" w:space="0" w:color="auto"/>
            <w:left w:val="none" w:sz="0" w:space="0" w:color="auto"/>
            <w:bottom w:val="none" w:sz="0" w:space="0" w:color="auto"/>
            <w:right w:val="none" w:sz="0" w:space="0" w:color="auto"/>
          </w:divBdr>
          <w:divsChild>
            <w:div w:id="308943459">
              <w:marLeft w:val="0"/>
              <w:marRight w:val="0"/>
              <w:marTop w:val="0"/>
              <w:marBottom w:val="0"/>
              <w:divBdr>
                <w:top w:val="none" w:sz="0" w:space="0" w:color="auto"/>
                <w:left w:val="none" w:sz="0" w:space="0" w:color="auto"/>
                <w:bottom w:val="none" w:sz="0" w:space="0" w:color="auto"/>
                <w:right w:val="none" w:sz="0" w:space="0" w:color="auto"/>
              </w:divBdr>
              <w:divsChild>
                <w:div w:id="10075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574621">
          <w:marLeft w:val="0"/>
          <w:marRight w:val="0"/>
          <w:marTop w:val="0"/>
          <w:marBottom w:val="0"/>
          <w:divBdr>
            <w:top w:val="none" w:sz="0" w:space="0" w:color="auto"/>
            <w:left w:val="none" w:sz="0" w:space="0" w:color="auto"/>
            <w:bottom w:val="none" w:sz="0" w:space="0" w:color="auto"/>
            <w:right w:val="none" w:sz="0" w:space="0" w:color="auto"/>
          </w:divBdr>
          <w:divsChild>
            <w:div w:id="292952874">
              <w:marLeft w:val="0"/>
              <w:marRight w:val="0"/>
              <w:marTop w:val="0"/>
              <w:marBottom w:val="0"/>
              <w:divBdr>
                <w:top w:val="none" w:sz="0" w:space="0" w:color="auto"/>
                <w:left w:val="none" w:sz="0" w:space="0" w:color="auto"/>
                <w:bottom w:val="none" w:sz="0" w:space="0" w:color="auto"/>
                <w:right w:val="none" w:sz="0" w:space="0" w:color="auto"/>
              </w:divBdr>
              <w:divsChild>
                <w:div w:id="1046176332">
                  <w:marLeft w:val="0"/>
                  <w:marRight w:val="0"/>
                  <w:marTop w:val="0"/>
                  <w:marBottom w:val="0"/>
                  <w:divBdr>
                    <w:top w:val="none" w:sz="0" w:space="0" w:color="auto"/>
                    <w:left w:val="none" w:sz="0" w:space="0" w:color="auto"/>
                    <w:bottom w:val="none" w:sz="0" w:space="0" w:color="auto"/>
                    <w:right w:val="none" w:sz="0" w:space="0" w:color="auto"/>
                  </w:divBdr>
                </w:div>
              </w:divsChild>
            </w:div>
            <w:div w:id="1222867516">
              <w:marLeft w:val="0"/>
              <w:marRight w:val="0"/>
              <w:marTop w:val="0"/>
              <w:marBottom w:val="0"/>
              <w:divBdr>
                <w:top w:val="none" w:sz="0" w:space="0" w:color="auto"/>
                <w:left w:val="none" w:sz="0" w:space="0" w:color="auto"/>
                <w:bottom w:val="none" w:sz="0" w:space="0" w:color="auto"/>
                <w:right w:val="none" w:sz="0" w:space="0" w:color="auto"/>
              </w:divBdr>
              <w:divsChild>
                <w:div w:id="96928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862657">
      <w:bodyDiv w:val="1"/>
      <w:marLeft w:val="0"/>
      <w:marRight w:val="0"/>
      <w:marTop w:val="0"/>
      <w:marBottom w:val="0"/>
      <w:divBdr>
        <w:top w:val="none" w:sz="0" w:space="0" w:color="auto"/>
        <w:left w:val="none" w:sz="0" w:space="0" w:color="auto"/>
        <w:bottom w:val="none" w:sz="0" w:space="0" w:color="auto"/>
        <w:right w:val="none" w:sz="0" w:space="0" w:color="auto"/>
      </w:divBdr>
    </w:div>
    <w:div w:id="631446078">
      <w:bodyDiv w:val="1"/>
      <w:marLeft w:val="0"/>
      <w:marRight w:val="0"/>
      <w:marTop w:val="0"/>
      <w:marBottom w:val="0"/>
      <w:divBdr>
        <w:top w:val="none" w:sz="0" w:space="0" w:color="auto"/>
        <w:left w:val="none" w:sz="0" w:space="0" w:color="auto"/>
        <w:bottom w:val="none" w:sz="0" w:space="0" w:color="auto"/>
        <w:right w:val="none" w:sz="0" w:space="0" w:color="auto"/>
      </w:divBdr>
    </w:div>
    <w:div w:id="632294626">
      <w:bodyDiv w:val="1"/>
      <w:marLeft w:val="0"/>
      <w:marRight w:val="0"/>
      <w:marTop w:val="0"/>
      <w:marBottom w:val="0"/>
      <w:divBdr>
        <w:top w:val="none" w:sz="0" w:space="0" w:color="auto"/>
        <w:left w:val="none" w:sz="0" w:space="0" w:color="auto"/>
        <w:bottom w:val="none" w:sz="0" w:space="0" w:color="auto"/>
        <w:right w:val="none" w:sz="0" w:space="0" w:color="auto"/>
      </w:divBdr>
      <w:divsChild>
        <w:div w:id="369842180">
          <w:marLeft w:val="547"/>
          <w:marRight w:val="0"/>
          <w:marTop w:val="120"/>
          <w:marBottom w:val="120"/>
          <w:divBdr>
            <w:top w:val="none" w:sz="0" w:space="0" w:color="auto"/>
            <w:left w:val="none" w:sz="0" w:space="0" w:color="auto"/>
            <w:bottom w:val="none" w:sz="0" w:space="0" w:color="auto"/>
            <w:right w:val="none" w:sz="0" w:space="0" w:color="auto"/>
          </w:divBdr>
        </w:div>
        <w:div w:id="753163761">
          <w:marLeft w:val="547"/>
          <w:marRight w:val="0"/>
          <w:marTop w:val="120"/>
          <w:marBottom w:val="120"/>
          <w:divBdr>
            <w:top w:val="none" w:sz="0" w:space="0" w:color="auto"/>
            <w:left w:val="none" w:sz="0" w:space="0" w:color="auto"/>
            <w:bottom w:val="none" w:sz="0" w:space="0" w:color="auto"/>
            <w:right w:val="none" w:sz="0" w:space="0" w:color="auto"/>
          </w:divBdr>
        </w:div>
        <w:div w:id="1785539464">
          <w:marLeft w:val="547"/>
          <w:marRight w:val="0"/>
          <w:marTop w:val="120"/>
          <w:marBottom w:val="120"/>
          <w:divBdr>
            <w:top w:val="none" w:sz="0" w:space="0" w:color="auto"/>
            <w:left w:val="none" w:sz="0" w:space="0" w:color="auto"/>
            <w:bottom w:val="none" w:sz="0" w:space="0" w:color="auto"/>
            <w:right w:val="none" w:sz="0" w:space="0" w:color="auto"/>
          </w:divBdr>
        </w:div>
      </w:divsChild>
    </w:div>
    <w:div w:id="633801698">
      <w:bodyDiv w:val="1"/>
      <w:marLeft w:val="0"/>
      <w:marRight w:val="0"/>
      <w:marTop w:val="0"/>
      <w:marBottom w:val="0"/>
      <w:divBdr>
        <w:top w:val="none" w:sz="0" w:space="0" w:color="auto"/>
        <w:left w:val="none" w:sz="0" w:space="0" w:color="auto"/>
        <w:bottom w:val="none" w:sz="0" w:space="0" w:color="auto"/>
        <w:right w:val="none" w:sz="0" w:space="0" w:color="auto"/>
      </w:divBdr>
      <w:divsChild>
        <w:div w:id="278269481">
          <w:marLeft w:val="547"/>
          <w:marRight w:val="0"/>
          <w:marTop w:val="77"/>
          <w:marBottom w:val="0"/>
          <w:divBdr>
            <w:top w:val="none" w:sz="0" w:space="0" w:color="auto"/>
            <w:left w:val="none" w:sz="0" w:space="0" w:color="auto"/>
            <w:bottom w:val="none" w:sz="0" w:space="0" w:color="auto"/>
            <w:right w:val="none" w:sz="0" w:space="0" w:color="auto"/>
          </w:divBdr>
        </w:div>
        <w:div w:id="352732746">
          <w:marLeft w:val="547"/>
          <w:marRight w:val="0"/>
          <w:marTop w:val="77"/>
          <w:marBottom w:val="0"/>
          <w:divBdr>
            <w:top w:val="none" w:sz="0" w:space="0" w:color="auto"/>
            <w:left w:val="none" w:sz="0" w:space="0" w:color="auto"/>
            <w:bottom w:val="none" w:sz="0" w:space="0" w:color="auto"/>
            <w:right w:val="none" w:sz="0" w:space="0" w:color="auto"/>
          </w:divBdr>
        </w:div>
        <w:div w:id="440340402">
          <w:marLeft w:val="547"/>
          <w:marRight w:val="0"/>
          <w:marTop w:val="77"/>
          <w:marBottom w:val="0"/>
          <w:divBdr>
            <w:top w:val="none" w:sz="0" w:space="0" w:color="auto"/>
            <w:left w:val="none" w:sz="0" w:space="0" w:color="auto"/>
            <w:bottom w:val="none" w:sz="0" w:space="0" w:color="auto"/>
            <w:right w:val="none" w:sz="0" w:space="0" w:color="auto"/>
          </w:divBdr>
        </w:div>
        <w:div w:id="543177683">
          <w:marLeft w:val="547"/>
          <w:marRight w:val="0"/>
          <w:marTop w:val="77"/>
          <w:marBottom w:val="0"/>
          <w:divBdr>
            <w:top w:val="none" w:sz="0" w:space="0" w:color="auto"/>
            <w:left w:val="none" w:sz="0" w:space="0" w:color="auto"/>
            <w:bottom w:val="none" w:sz="0" w:space="0" w:color="auto"/>
            <w:right w:val="none" w:sz="0" w:space="0" w:color="auto"/>
          </w:divBdr>
        </w:div>
        <w:div w:id="704911089">
          <w:marLeft w:val="547"/>
          <w:marRight w:val="0"/>
          <w:marTop w:val="77"/>
          <w:marBottom w:val="0"/>
          <w:divBdr>
            <w:top w:val="none" w:sz="0" w:space="0" w:color="auto"/>
            <w:left w:val="none" w:sz="0" w:space="0" w:color="auto"/>
            <w:bottom w:val="none" w:sz="0" w:space="0" w:color="auto"/>
            <w:right w:val="none" w:sz="0" w:space="0" w:color="auto"/>
          </w:divBdr>
        </w:div>
        <w:div w:id="960309834">
          <w:marLeft w:val="547"/>
          <w:marRight w:val="0"/>
          <w:marTop w:val="77"/>
          <w:marBottom w:val="0"/>
          <w:divBdr>
            <w:top w:val="none" w:sz="0" w:space="0" w:color="auto"/>
            <w:left w:val="none" w:sz="0" w:space="0" w:color="auto"/>
            <w:bottom w:val="none" w:sz="0" w:space="0" w:color="auto"/>
            <w:right w:val="none" w:sz="0" w:space="0" w:color="auto"/>
          </w:divBdr>
        </w:div>
        <w:div w:id="1264652362">
          <w:marLeft w:val="547"/>
          <w:marRight w:val="0"/>
          <w:marTop w:val="96"/>
          <w:marBottom w:val="0"/>
          <w:divBdr>
            <w:top w:val="none" w:sz="0" w:space="0" w:color="auto"/>
            <w:left w:val="none" w:sz="0" w:space="0" w:color="auto"/>
            <w:bottom w:val="none" w:sz="0" w:space="0" w:color="auto"/>
            <w:right w:val="none" w:sz="0" w:space="0" w:color="auto"/>
          </w:divBdr>
        </w:div>
        <w:div w:id="1596287052">
          <w:marLeft w:val="547"/>
          <w:marRight w:val="0"/>
          <w:marTop w:val="77"/>
          <w:marBottom w:val="0"/>
          <w:divBdr>
            <w:top w:val="none" w:sz="0" w:space="0" w:color="auto"/>
            <w:left w:val="none" w:sz="0" w:space="0" w:color="auto"/>
            <w:bottom w:val="none" w:sz="0" w:space="0" w:color="auto"/>
            <w:right w:val="none" w:sz="0" w:space="0" w:color="auto"/>
          </w:divBdr>
        </w:div>
        <w:div w:id="1670981531">
          <w:marLeft w:val="547"/>
          <w:marRight w:val="0"/>
          <w:marTop w:val="77"/>
          <w:marBottom w:val="0"/>
          <w:divBdr>
            <w:top w:val="none" w:sz="0" w:space="0" w:color="auto"/>
            <w:left w:val="none" w:sz="0" w:space="0" w:color="auto"/>
            <w:bottom w:val="none" w:sz="0" w:space="0" w:color="auto"/>
            <w:right w:val="none" w:sz="0" w:space="0" w:color="auto"/>
          </w:divBdr>
        </w:div>
        <w:div w:id="1995334686">
          <w:marLeft w:val="547"/>
          <w:marRight w:val="0"/>
          <w:marTop w:val="77"/>
          <w:marBottom w:val="0"/>
          <w:divBdr>
            <w:top w:val="none" w:sz="0" w:space="0" w:color="auto"/>
            <w:left w:val="none" w:sz="0" w:space="0" w:color="auto"/>
            <w:bottom w:val="none" w:sz="0" w:space="0" w:color="auto"/>
            <w:right w:val="none" w:sz="0" w:space="0" w:color="auto"/>
          </w:divBdr>
        </w:div>
        <w:div w:id="2014188009">
          <w:marLeft w:val="547"/>
          <w:marRight w:val="0"/>
          <w:marTop w:val="77"/>
          <w:marBottom w:val="0"/>
          <w:divBdr>
            <w:top w:val="none" w:sz="0" w:space="0" w:color="auto"/>
            <w:left w:val="none" w:sz="0" w:space="0" w:color="auto"/>
            <w:bottom w:val="none" w:sz="0" w:space="0" w:color="auto"/>
            <w:right w:val="none" w:sz="0" w:space="0" w:color="auto"/>
          </w:divBdr>
        </w:div>
      </w:divsChild>
    </w:div>
    <w:div w:id="634144998">
      <w:bodyDiv w:val="1"/>
      <w:marLeft w:val="0"/>
      <w:marRight w:val="0"/>
      <w:marTop w:val="0"/>
      <w:marBottom w:val="0"/>
      <w:divBdr>
        <w:top w:val="none" w:sz="0" w:space="0" w:color="auto"/>
        <w:left w:val="none" w:sz="0" w:space="0" w:color="auto"/>
        <w:bottom w:val="none" w:sz="0" w:space="0" w:color="auto"/>
        <w:right w:val="none" w:sz="0" w:space="0" w:color="auto"/>
      </w:divBdr>
    </w:div>
    <w:div w:id="657458978">
      <w:bodyDiv w:val="1"/>
      <w:marLeft w:val="0"/>
      <w:marRight w:val="0"/>
      <w:marTop w:val="0"/>
      <w:marBottom w:val="0"/>
      <w:divBdr>
        <w:top w:val="none" w:sz="0" w:space="0" w:color="auto"/>
        <w:left w:val="none" w:sz="0" w:space="0" w:color="auto"/>
        <w:bottom w:val="none" w:sz="0" w:space="0" w:color="auto"/>
        <w:right w:val="none" w:sz="0" w:space="0" w:color="auto"/>
      </w:divBdr>
      <w:divsChild>
        <w:div w:id="383598461">
          <w:marLeft w:val="706"/>
          <w:marRight w:val="0"/>
          <w:marTop w:val="120"/>
          <w:marBottom w:val="120"/>
          <w:divBdr>
            <w:top w:val="none" w:sz="0" w:space="0" w:color="auto"/>
            <w:left w:val="none" w:sz="0" w:space="0" w:color="auto"/>
            <w:bottom w:val="none" w:sz="0" w:space="0" w:color="auto"/>
            <w:right w:val="none" w:sz="0" w:space="0" w:color="auto"/>
          </w:divBdr>
        </w:div>
        <w:div w:id="635109381">
          <w:marLeft w:val="720"/>
          <w:marRight w:val="0"/>
          <w:marTop w:val="120"/>
          <w:marBottom w:val="120"/>
          <w:divBdr>
            <w:top w:val="none" w:sz="0" w:space="0" w:color="auto"/>
            <w:left w:val="none" w:sz="0" w:space="0" w:color="auto"/>
            <w:bottom w:val="none" w:sz="0" w:space="0" w:color="auto"/>
            <w:right w:val="none" w:sz="0" w:space="0" w:color="auto"/>
          </w:divBdr>
        </w:div>
      </w:divsChild>
    </w:div>
    <w:div w:id="669601606">
      <w:bodyDiv w:val="1"/>
      <w:marLeft w:val="0"/>
      <w:marRight w:val="0"/>
      <w:marTop w:val="0"/>
      <w:marBottom w:val="0"/>
      <w:divBdr>
        <w:top w:val="none" w:sz="0" w:space="0" w:color="auto"/>
        <w:left w:val="none" w:sz="0" w:space="0" w:color="auto"/>
        <w:bottom w:val="none" w:sz="0" w:space="0" w:color="auto"/>
        <w:right w:val="none" w:sz="0" w:space="0" w:color="auto"/>
      </w:divBdr>
      <w:divsChild>
        <w:div w:id="489758887">
          <w:marLeft w:val="0"/>
          <w:marRight w:val="0"/>
          <w:marTop w:val="0"/>
          <w:marBottom w:val="0"/>
          <w:divBdr>
            <w:top w:val="none" w:sz="0" w:space="0" w:color="auto"/>
            <w:left w:val="none" w:sz="0" w:space="0" w:color="auto"/>
            <w:bottom w:val="none" w:sz="0" w:space="0" w:color="auto"/>
            <w:right w:val="none" w:sz="0" w:space="0" w:color="auto"/>
          </w:divBdr>
        </w:div>
        <w:div w:id="1205749018">
          <w:marLeft w:val="0"/>
          <w:marRight w:val="0"/>
          <w:marTop w:val="0"/>
          <w:marBottom w:val="0"/>
          <w:divBdr>
            <w:top w:val="none" w:sz="0" w:space="0" w:color="auto"/>
            <w:left w:val="none" w:sz="0" w:space="0" w:color="auto"/>
            <w:bottom w:val="none" w:sz="0" w:space="0" w:color="auto"/>
            <w:right w:val="none" w:sz="0" w:space="0" w:color="auto"/>
          </w:divBdr>
        </w:div>
        <w:div w:id="1816726267">
          <w:marLeft w:val="0"/>
          <w:marRight w:val="0"/>
          <w:marTop w:val="0"/>
          <w:marBottom w:val="0"/>
          <w:divBdr>
            <w:top w:val="none" w:sz="0" w:space="0" w:color="auto"/>
            <w:left w:val="none" w:sz="0" w:space="0" w:color="auto"/>
            <w:bottom w:val="none" w:sz="0" w:space="0" w:color="auto"/>
            <w:right w:val="none" w:sz="0" w:space="0" w:color="auto"/>
          </w:divBdr>
        </w:div>
      </w:divsChild>
    </w:div>
    <w:div w:id="669875314">
      <w:bodyDiv w:val="1"/>
      <w:marLeft w:val="0"/>
      <w:marRight w:val="0"/>
      <w:marTop w:val="0"/>
      <w:marBottom w:val="0"/>
      <w:divBdr>
        <w:top w:val="none" w:sz="0" w:space="0" w:color="auto"/>
        <w:left w:val="none" w:sz="0" w:space="0" w:color="auto"/>
        <w:bottom w:val="none" w:sz="0" w:space="0" w:color="auto"/>
        <w:right w:val="none" w:sz="0" w:space="0" w:color="auto"/>
      </w:divBdr>
      <w:divsChild>
        <w:div w:id="83653955">
          <w:marLeft w:val="547"/>
          <w:marRight w:val="0"/>
          <w:marTop w:val="77"/>
          <w:marBottom w:val="0"/>
          <w:divBdr>
            <w:top w:val="none" w:sz="0" w:space="0" w:color="auto"/>
            <w:left w:val="none" w:sz="0" w:space="0" w:color="auto"/>
            <w:bottom w:val="none" w:sz="0" w:space="0" w:color="auto"/>
            <w:right w:val="none" w:sz="0" w:space="0" w:color="auto"/>
          </w:divBdr>
        </w:div>
        <w:div w:id="142166768">
          <w:marLeft w:val="547"/>
          <w:marRight w:val="0"/>
          <w:marTop w:val="77"/>
          <w:marBottom w:val="0"/>
          <w:divBdr>
            <w:top w:val="none" w:sz="0" w:space="0" w:color="auto"/>
            <w:left w:val="none" w:sz="0" w:space="0" w:color="auto"/>
            <w:bottom w:val="none" w:sz="0" w:space="0" w:color="auto"/>
            <w:right w:val="none" w:sz="0" w:space="0" w:color="auto"/>
          </w:divBdr>
        </w:div>
        <w:div w:id="619065858">
          <w:marLeft w:val="547"/>
          <w:marRight w:val="0"/>
          <w:marTop w:val="77"/>
          <w:marBottom w:val="0"/>
          <w:divBdr>
            <w:top w:val="none" w:sz="0" w:space="0" w:color="auto"/>
            <w:left w:val="none" w:sz="0" w:space="0" w:color="auto"/>
            <w:bottom w:val="none" w:sz="0" w:space="0" w:color="auto"/>
            <w:right w:val="none" w:sz="0" w:space="0" w:color="auto"/>
          </w:divBdr>
        </w:div>
        <w:div w:id="900558713">
          <w:marLeft w:val="547"/>
          <w:marRight w:val="0"/>
          <w:marTop w:val="77"/>
          <w:marBottom w:val="0"/>
          <w:divBdr>
            <w:top w:val="none" w:sz="0" w:space="0" w:color="auto"/>
            <w:left w:val="none" w:sz="0" w:space="0" w:color="auto"/>
            <w:bottom w:val="none" w:sz="0" w:space="0" w:color="auto"/>
            <w:right w:val="none" w:sz="0" w:space="0" w:color="auto"/>
          </w:divBdr>
        </w:div>
        <w:div w:id="1176069309">
          <w:marLeft w:val="547"/>
          <w:marRight w:val="0"/>
          <w:marTop w:val="77"/>
          <w:marBottom w:val="0"/>
          <w:divBdr>
            <w:top w:val="none" w:sz="0" w:space="0" w:color="auto"/>
            <w:left w:val="none" w:sz="0" w:space="0" w:color="auto"/>
            <w:bottom w:val="none" w:sz="0" w:space="0" w:color="auto"/>
            <w:right w:val="none" w:sz="0" w:space="0" w:color="auto"/>
          </w:divBdr>
        </w:div>
        <w:div w:id="2116556700">
          <w:marLeft w:val="547"/>
          <w:marRight w:val="0"/>
          <w:marTop w:val="77"/>
          <w:marBottom w:val="0"/>
          <w:divBdr>
            <w:top w:val="none" w:sz="0" w:space="0" w:color="auto"/>
            <w:left w:val="none" w:sz="0" w:space="0" w:color="auto"/>
            <w:bottom w:val="none" w:sz="0" w:space="0" w:color="auto"/>
            <w:right w:val="none" w:sz="0" w:space="0" w:color="auto"/>
          </w:divBdr>
        </w:div>
      </w:divsChild>
    </w:div>
    <w:div w:id="683478489">
      <w:bodyDiv w:val="1"/>
      <w:marLeft w:val="0"/>
      <w:marRight w:val="0"/>
      <w:marTop w:val="0"/>
      <w:marBottom w:val="0"/>
      <w:divBdr>
        <w:top w:val="none" w:sz="0" w:space="0" w:color="auto"/>
        <w:left w:val="none" w:sz="0" w:space="0" w:color="auto"/>
        <w:bottom w:val="none" w:sz="0" w:space="0" w:color="auto"/>
        <w:right w:val="none" w:sz="0" w:space="0" w:color="auto"/>
      </w:divBdr>
    </w:div>
    <w:div w:id="689184770">
      <w:bodyDiv w:val="1"/>
      <w:marLeft w:val="0"/>
      <w:marRight w:val="0"/>
      <w:marTop w:val="0"/>
      <w:marBottom w:val="0"/>
      <w:divBdr>
        <w:top w:val="none" w:sz="0" w:space="0" w:color="auto"/>
        <w:left w:val="none" w:sz="0" w:space="0" w:color="auto"/>
        <w:bottom w:val="none" w:sz="0" w:space="0" w:color="auto"/>
        <w:right w:val="none" w:sz="0" w:space="0" w:color="auto"/>
      </w:divBdr>
      <w:divsChild>
        <w:div w:id="671297847">
          <w:marLeft w:val="547"/>
          <w:marRight w:val="0"/>
          <w:marTop w:val="77"/>
          <w:marBottom w:val="0"/>
          <w:divBdr>
            <w:top w:val="none" w:sz="0" w:space="0" w:color="auto"/>
            <w:left w:val="none" w:sz="0" w:space="0" w:color="auto"/>
            <w:bottom w:val="none" w:sz="0" w:space="0" w:color="auto"/>
            <w:right w:val="none" w:sz="0" w:space="0" w:color="auto"/>
          </w:divBdr>
        </w:div>
        <w:div w:id="1100756240">
          <w:marLeft w:val="547"/>
          <w:marRight w:val="0"/>
          <w:marTop w:val="77"/>
          <w:marBottom w:val="0"/>
          <w:divBdr>
            <w:top w:val="none" w:sz="0" w:space="0" w:color="auto"/>
            <w:left w:val="none" w:sz="0" w:space="0" w:color="auto"/>
            <w:bottom w:val="none" w:sz="0" w:space="0" w:color="auto"/>
            <w:right w:val="none" w:sz="0" w:space="0" w:color="auto"/>
          </w:divBdr>
        </w:div>
        <w:div w:id="1932203575">
          <w:marLeft w:val="547"/>
          <w:marRight w:val="0"/>
          <w:marTop w:val="77"/>
          <w:marBottom w:val="0"/>
          <w:divBdr>
            <w:top w:val="none" w:sz="0" w:space="0" w:color="auto"/>
            <w:left w:val="none" w:sz="0" w:space="0" w:color="auto"/>
            <w:bottom w:val="none" w:sz="0" w:space="0" w:color="auto"/>
            <w:right w:val="none" w:sz="0" w:space="0" w:color="auto"/>
          </w:divBdr>
        </w:div>
      </w:divsChild>
    </w:div>
    <w:div w:id="701629922">
      <w:bodyDiv w:val="1"/>
      <w:marLeft w:val="0"/>
      <w:marRight w:val="0"/>
      <w:marTop w:val="0"/>
      <w:marBottom w:val="0"/>
      <w:divBdr>
        <w:top w:val="none" w:sz="0" w:space="0" w:color="auto"/>
        <w:left w:val="none" w:sz="0" w:space="0" w:color="auto"/>
        <w:bottom w:val="none" w:sz="0" w:space="0" w:color="auto"/>
        <w:right w:val="none" w:sz="0" w:space="0" w:color="auto"/>
      </w:divBdr>
    </w:div>
    <w:div w:id="712729865">
      <w:bodyDiv w:val="1"/>
      <w:marLeft w:val="0"/>
      <w:marRight w:val="0"/>
      <w:marTop w:val="0"/>
      <w:marBottom w:val="0"/>
      <w:divBdr>
        <w:top w:val="none" w:sz="0" w:space="0" w:color="auto"/>
        <w:left w:val="none" w:sz="0" w:space="0" w:color="auto"/>
        <w:bottom w:val="none" w:sz="0" w:space="0" w:color="auto"/>
        <w:right w:val="none" w:sz="0" w:space="0" w:color="auto"/>
      </w:divBdr>
      <w:divsChild>
        <w:div w:id="1062485155">
          <w:marLeft w:val="0"/>
          <w:marRight w:val="0"/>
          <w:marTop w:val="0"/>
          <w:marBottom w:val="0"/>
          <w:divBdr>
            <w:top w:val="none" w:sz="0" w:space="0" w:color="auto"/>
            <w:left w:val="none" w:sz="0" w:space="0" w:color="auto"/>
            <w:bottom w:val="none" w:sz="0" w:space="0" w:color="auto"/>
            <w:right w:val="none" w:sz="0" w:space="0" w:color="auto"/>
          </w:divBdr>
        </w:div>
        <w:div w:id="1229346963">
          <w:marLeft w:val="0"/>
          <w:marRight w:val="0"/>
          <w:marTop w:val="0"/>
          <w:marBottom w:val="0"/>
          <w:divBdr>
            <w:top w:val="none" w:sz="0" w:space="0" w:color="auto"/>
            <w:left w:val="none" w:sz="0" w:space="0" w:color="auto"/>
            <w:bottom w:val="none" w:sz="0" w:space="0" w:color="auto"/>
            <w:right w:val="none" w:sz="0" w:space="0" w:color="auto"/>
          </w:divBdr>
          <w:divsChild>
            <w:div w:id="760029411">
              <w:marLeft w:val="0"/>
              <w:marRight w:val="0"/>
              <w:marTop w:val="0"/>
              <w:marBottom w:val="0"/>
              <w:divBdr>
                <w:top w:val="none" w:sz="0" w:space="0" w:color="auto"/>
                <w:left w:val="none" w:sz="0" w:space="0" w:color="auto"/>
                <w:bottom w:val="none" w:sz="0" w:space="0" w:color="auto"/>
                <w:right w:val="none" w:sz="0" w:space="0" w:color="auto"/>
              </w:divBdr>
              <w:divsChild>
                <w:div w:id="1482965151">
                  <w:marLeft w:val="0"/>
                  <w:marRight w:val="0"/>
                  <w:marTop w:val="0"/>
                  <w:marBottom w:val="0"/>
                  <w:divBdr>
                    <w:top w:val="none" w:sz="0" w:space="0" w:color="auto"/>
                    <w:left w:val="none" w:sz="0" w:space="0" w:color="auto"/>
                    <w:bottom w:val="none" w:sz="0" w:space="0" w:color="auto"/>
                    <w:right w:val="none" w:sz="0" w:space="0" w:color="auto"/>
                  </w:divBdr>
                  <w:divsChild>
                    <w:div w:id="15545994">
                      <w:marLeft w:val="0"/>
                      <w:marRight w:val="0"/>
                      <w:marTop w:val="0"/>
                      <w:marBottom w:val="0"/>
                      <w:divBdr>
                        <w:top w:val="none" w:sz="0" w:space="0" w:color="auto"/>
                        <w:left w:val="none" w:sz="0" w:space="0" w:color="auto"/>
                        <w:bottom w:val="none" w:sz="0" w:space="0" w:color="auto"/>
                        <w:right w:val="none" w:sz="0" w:space="0" w:color="auto"/>
                      </w:divBdr>
                    </w:div>
                    <w:div w:id="611516476">
                      <w:marLeft w:val="0"/>
                      <w:marRight w:val="0"/>
                      <w:marTop w:val="0"/>
                      <w:marBottom w:val="0"/>
                      <w:divBdr>
                        <w:top w:val="none" w:sz="0" w:space="0" w:color="auto"/>
                        <w:left w:val="none" w:sz="0" w:space="0" w:color="auto"/>
                        <w:bottom w:val="none" w:sz="0" w:space="0" w:color="auto"/>
                        <w:right w:val="none" w:sz="0" w:space="0" w:color="auto"/>
                      </w:divBdr>
                      <w:divsChild>
                        <w:div w:id="50201386">
                          <w:marLeft w:val="0"/>
                          <w:marRight w:val="0"/>
                          <w:marTop w:val="0"/>
                          <w:marBottom w:val="0"/>
                          <w:divBdr>
                            <w:top w:val="none" w:sz="0" w:space="0" w:color="auto"/>
                            <w:left w:val="none" w:sz="0" w:space="0" w:color="auto"/>
                            <w:bottom w:val="none" w:sz="0" w:space="0" w:color="auto"/>
                            <w:right w:val="none" w:sz="0" w:space="0" w:color="auto"/>
                          </w:divBdr>
                        </w:div>
                        <w:div w:id="1868564978">
                          <w:marLeft w:val="0"/>
                          <w:marRight w:val="0"/>
                          <w:marTop w:val="0"/>
                          <w:marBottom w:val="0"/>
                          <w:divBdr>
                            <w:top w:val="none" w:sz="0" w:space="0" w:color="auto"/>
                            <w:left w:val="none" w:sz="0" w:space="0" w:color="auto"/>
                            <w:bottom w:val="none" w:sz="0" w:space="0" w:color="auto"/>
                            <w:right w:val="none" w:sz="0" w:space="0" w:color="auto"/>
                          </w:divBdr>
                        </w:div>
                      </w:divsChild>
                    </w:div>
                    <w:div w:id="1270358312">
                      <w:marLeft w:val="0"/>
                      <w:marRight w:val="0"/>
                      <w:marTop w:val="0"/>
                      <w:marBottom w:val="0"/>
                      <w:divBdr>
                        <w:top w:val="none" w:sz="0" w:space="0" w:color="auto"/>
                        <w:left w:val="none" w:sz="0" w:space="0" w:color="auto"/>
                        <w:bottom w:val="none" w:sz="0" w:space="0" w:color="auto"/>
                        <w:right w:val="none" w:sz="0" w:space="0" w:color="auto"/>
                      </w:divBdr>
                    </w:div>
                    <w:div w:id="1766998271">
                      <w:marLeft w:val="0"/>
                      <w:marRight w:val="0"/>
                      <w:marTop w:val="0"/>
                      <w:marBottom w:val="0"/>
                      <w:divBdr>
                        <w:top w:val="none" w:sz="0" w:space="0" w:color="auto"/>
                        <w:left w:val="none" w:sz="0" w:space="0" w:color="auto"/>
                        <w:bottom w:val="none" w:sz="0" w:space="0" w:color="auto"/>
                        <w:right w:val="none" w:sz="0" w:space="0" w:color="auto"/>
                      </w:divBdr>
                    </w:div>
                    <w:div w:id="1848784862">
                      <w:marLeft w:val="0"/>
                      <w:marRight w:val="0"/>
                      <w:marTop w:val="0"/>
                      <w:marBottom w:val="0"/>
                      <w:divBdr>
                        <w:top w:val="none" w:sz="0" w:space="0" w:color="auto"/>
                        <w:left w:val="none" w:sz="0" w:space="0" w:color="auto"/>
                        <w:bottom w:val="none" w:sz="0" w:space="0" w:color="auto"/>
                        <w:right w:val="none" w:sz="0" w:space="0" w:color="auto"/>
                      </w:divBdr>
                      <w:divsChild>
                        <w:div w:id="147289438">
                          <w:marLeft w:val="0"/>
                          <w:marRight w:val="0"/>
                          <w:marTop w:val="0"/>
                          <w:marBottom w:val="0"/>
                          <w:divBdr>
                            <w:top w:val="none" w:sz="0" w:space="0" w:color="auto"/>
                            <w:left w:val="none" w:sz="0" w:space="0" w:color="auto"/>
                            <w:bottom w:val="none" w:sz="0" w:space="0" w:color="auto"/>
                            <w:right w:val="none" w:sz="0" w:space="0" w:color="auto"/>
                          </w:divBdr>
                        </w:div>
                        <w:div w:id="94989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6702906">
      <w:bodyDiv w:val="1"/>
      <w:marLeft w:val="0"/>
      <w:marRight w:val="0"/>
      <w:marTop w:val="0"/>
      <w:marBottom w:val="0"/>
      <w:divBdr>
        <w:top w:val="none" w:sz="0" w:space="0" w:color="auto"/>
        <w:left w:val="none" w:sz="0" w:space="0" w:color="auto"/>
        <w:bottom w:val="none" w:sz="0" w:space="0" w:color="auto"/>
        <w:right w:val="none" w:sz="0" w:space="0" w:color="auto"/>
      </w:divBdr>
      <w:divsChild>
        <w:div w:id="1514148266">
          <w:marLeft w:val="0"/>
          <w:marRight w:val="0"/>
          <w:marTop w:val="0"/>
          <w:marBottom w:val="0"/>
          <w:divBdr>
            <w:top w:val="none" w:sz="0" w:space="0" w:color="auto"/>
            <w:left w:val="none" w:sz="0" w:space="0" w:color="auto"/>
            <w:bottom w:val="none" w:sz="0" w:space="0" w:color="auto"/>
            <w:right w:val="none" w:sz="0" w:space="0" w:color="auto"/>
          </w:divBdr>
          <w:divsChild>
            <w:div w:id="383333516">
              <w:marLeft w:val="0"/>
              <w:marRight w:val="0"/>
              <w:marTop w:val="0"/>
              <w:marBottom w:val="0"/>
              <w:divBdr>
                <w:top w:val="none" w:sz="0" w:space="0" w:color="auto"/>
                <w:left w:val="none" w:sz="0" w:space="0" w:color="auto"/>
                <w:bottom w:val="none" w:sz="0" w:space="0" w:color="auto"/>
                <w:right w:val="none" w:sz="0" w:space="0" w:color="auto"/>
              </w:divBdr>
            </w:div>
            <w:div w:id="1563176518">
              <w:marLeft w:val="0"/>
              <w:marRight w:val="0"/>
              <w:marTop w:val="0"/>
              <w:marBottom w:val="0"/>
              <w:divBdr>
                <w:top w:val="none" w:sz="0" w:space="0" w:color="auto"/>
                <w:left w:val="none" w:sz="0" w:space="0" w:color="auto"/>
                <w:bottom w:val="none" w:sz="0" w:space="0" w:color="auto"/>
                <w:right w:val="none" w:sz="0" w:space="0" w:color="auto"/>
              </w:divBdr>
            </w:div>
            <w:div w:id="192363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649289">
      <w:bodyDiv w:val="1"/>
      <w:marLeft w:val="0"/>
      <w:marRight w:val="0"/>
      <w:marTop w:val="0"/>
      <w:marBottom w:val="0"/>
      <w:divBdr>
        <w:top w:val="none" w:sz="0" w:space="0" w:color="auto"/>
        <w:left w:val="none" w:sz="0" w:space="0" w:color="auto"/>
        <w:bottom w:val="none" w:sz="0" w:space="0" w:color="auto"/>
        <w:right w:val="none" w:sz="0" w:space="0" w:color="auto"/>
      </w:divBdr>
      <w:divsChild>
        <w:div w:id="288902468">
          <w:marLeft w:val="0"/>
          <w:marRight w:val="0"/>
          <w:marTop w:val="0"/>
          <w:marBottom w:val="0"/>
          <w:divBdr>
            <w:top w:val="none" w:sz="0" w:space="0" w:color="auto"/>
            <w:left w:val="none" w:sz="0" w:space="0" w:color="auto"/>
            <w:bottom w:val="none" w:sz="0" w:space="0" w:color="auto"/>
            <w:right w:val="none" w:sz="0" w:space="0" w:color="auto"/>
          </w:divBdr>
        </w:div>
        <w:div w:id="991373661">
          <w:marLeft w:val="0"/>
          <w:marRight w:val="0"/>
          <w:marTop w:val="0"/>
          <w:marBottom w:val="0"/>
          <w:divBdr>
            <w:top w:val="none" w:sz="0" w:space="0" w:color="auto"/>
            <w:left w:val="none" w:sz="0" w:space="0" w:color="auto"/>
            <w:bottom w:val="none" w:sz="0" w:space="0" w:color="auto"/>
            <w:right w:val="none" w:sz="0" w:space="0" w:color="auto"/>
          </w:divBdr>
        </w:div>
        <w:div w:id="1346516826">
          <w:marLeft w:val="0"/>
          <w:marRight w:val="0"/>
          <w:marTop w:val="0"/>
          <w:marBottom w:val="0"/>
          <w:divBdr>
            <w:top w:val="none" w:sz="0" w:space="0" w:color="auto"/>
            <w:left w:val="none" w:sz="0" w:space="0" w:color="auto"/>
            <w:bottom w:val="none" w:sz="0" w:space="0" w:color="auto"/>
            <w:right w:val="none" w:sz="0" w:space="0" w:color="auto"/>
          </w:divBdr>
        </w:div>
        <w:div w:id="2006594354">
          <w:marLeft w:val="0"/>
          <w:marRight w:val="0"/>
          <w:marTop w:val="0"/>
          <w:marBottom w:val="0"/>
          <w:divBdr>
            <w:top w:val="none" w:sz="0" w:space="0" w:color="auto"/>
            <w:left w:val="none" w:sz="0" w:space="0" w:color="auto"/>
            <w:bottom w:val="none" w:sz="0" w:space="0" w:color="auto"/>
            <w:right w:val="none" w:sz="0" w:space="0" w:color="auto"/>
          </w:divBdr>
        </w:div>
      </w:divsChild>
    </w:div>
    <w:div w:id="741372882">
      <w:bodyDiv w:val="1"/>
      <w:marLeft w:val="0"/>
      <w:marRight w:val="0"/>
      <w:marTop w:val="0"/>
      <w:marBottom w:val="0"/>
      <w:divBdr>
        <w:top w:val="none" w:sz="0" w:space="0" w:color="auto"/>
        <w:left w:val="none" w:sz="0" w:space="0" w:color="auto"/>
        <w:bottom w:val="none" w:sz="0" w:space="0" w:color="auto"/>
        <w:right w:val="none" w:sz="0" w:space="0" w:color="auto"/>
      </w:divBdr>
      <w:divsChild>
        <w:div w:id="71894162">
          <w:marLeft w:val="547"/>
          <w:marRight w:val="0"/>
          <w:marTop w:val="120"/>
          <w:marBottom w:val="0"/>
          <w:divBdr>
            <w:top w:val="none" w:sz="0" w:space="0" w:color="auto"/>
            <w:left w:val="none" w:sz="0" w:space="0" w:color="auto"/>
            <w:bottom w:val="none" w:sz="0" w:space="0" w:color="auto"/>
            <w:right w:val="none" w:sz="0" w:space="0" w:color="auto"/>
          </w:divBdr>
        </w:div>
        <w:div w:id="1248266680">
          <w:marLeft w:val="547"/>
          <w:marRight w:val="0"/>
          <w:marTop w:val="120"/>
          <w:marBottom w:val="0"/>
          <w:divBdr>
            <w:top w:val="none" w:sz="0" w:space="0" w:color="auto"/>
            <w:left w:val="none" w:sz="0" w:space="0" w:color="auto"/>
            <w:bottom w:val="none" w:sz="0" w:space="0" w:color="auto"/>
            <w:right w:val="none" w:sz="0" w:space="0" w:color="auto"/>
          </w:divBdr>
        </w:div>
        <w:div w:id="1287078193">
          <w:marLeft w:val="547"/>
          <w:marRight w:val="0"/>
          <w:marTop w:val="120"/>
          <w:marBottom w:val="0"/>
          <w:divBdr>
            <w:top w:val="none" w:sz="0" w:space="0" w:color="auto"/>
            <w:left w:val="none" w:sz="0" w:space="0" w:color="auto"/>
            <w:bottom w:val="none" w:sz="0" w:space="0" w:color="auto"/>
            <w:right w:val="none" w:sz="0" w:space="0" w:color="auto"/>
          </w:divBdr>
        </w:div>
        <w:div w:id="1435634733">
          <w:marLeft w:val="547"/>
          <w:marRight w:val="0"/>
          <w:marTop w:val="120"/>
          <w:marBottom w:val="0"/>
          <w:divBdr>
            <w:top w:val="none" w:sz="0" w:space="0" w:color="auto"/>
            <w:left w:val="none" w:sz="0" w:space="0" w:color="auto"/>
            <w:bottom w:val="none" w:sz="0" w:space="0" w:color="auto"/>
            <w:right w:val="none" w:sz="0" w:space="0" w:color="auto"/>
          </w:divBdr>
        </w:div>
      </w:divsChild>
    </w:div>
    <w:div w:id="754521087">
      <w:bodyDiv w:val="1"/>
      <w:marLeft w:val="0"/>
      <w:marRight w:val="0"/>
      <w:marTop w:val="0"/>
      <w:marBottom w:val="0"/>
      <w:divBdr>
        <w:top w:val="none" w:sz="0" w:space="0" w:color="auto"/>
        <w:left w:val="none" w:sz="0" w:space="0" w:color="auto"/>
        <w:bottom w:val="none" w:sz="0" w:space="0" w:color="auto"/>
        <w:right w:val="none" w:sz="0" w:space="0" w:color="auto"/>
      </w:divBdr>
      <w:divsChild>
        <w:div w:id="436142345">
          <w:marLeft w:val="0"/>
          <w:marRight w:val="0"/>
          <w:marTop w:val="0"/>
          <w:marBottom w:val="0"/>
          <w:divBdr>
            <w:top w:val="none" w:sz="0" w:space="0" w:color="auto"/>
            <w:left w:val="none" w:sz="0" w:space="0" w:color="auto"/>
            <w:bottom w:val="none" w:sz="0" w:space="0" w:color="auto"/>
            <w:right w:val="none" w:sz="0" w:space="0" w:color="auto"/>
          </w:divBdr>
        </w:div>
        <w:div w:id="726299942">
          <w:marLeft w:val="0"/>
          <w:marRight w:val="0"/>
          <w:marTop w:val="0"/>
          <w:marBottom w:val="0"/>
          <w:divBdr>
            <w:top w:val="none" w:sz="0" w:space="0" w:color="auto"/>
            <w:left w:val="none" w:sz="0" w:space="0" w:color="auto"/>
            <w:bottom w:val="none" w:sz="0" w:space="0" w:color="auto"/>
            <w:right w:val="none" w:sz="0" w:space="0" w:color="auto"/>
          </w:divBdr>
        </w:div>
        <w:div w:id="746924079">
          <w:marLeft w:val="0"/>
          <w:marRight w:val="0"/>
          <w:marTop w:val="0"/>
          <w:marBottom w:val="0"/>
          <w:divBdr>
            <w:top w:val="none" w:sz="0" w:space="0" w:color="auto"/>
            <w:left w:val="none" w:sz="0" w:space="0" w:color="auto"/>
            <w:bottom w:val="none" w:sz="0" w:space="0" w:color="auto"/>
            <w:right w:val="none" w:sz="0" w:space="0" w:color="auto"/>
          </w:divBdr>
        </w:div>
        <w:div w:id="1011104532">
          <w:marLeft w:val="0"/>
          <w:marRight w:val="0"/>
          <w:marTop w:val="0"/>
          <w:marBottom w:val="0"/>
          <w:divBdr>
            <w:top w:val="none" w:sz="0" w:space="0" w:color="auto"/>
            <w:left w:val="none" w:sz="0" w:space="0" w:color="auto"/>
            <w:bottom w:val="none" w:sz="0" w:space="0" w:color="auto"/>
            <w:right w:val="none" w:sz="0" w:space="0" w:color="auto"/>
          </w:divBdr>
        </w:div>
        <w:div w:id="1061094966">
          <w:marLeft w:val="0"/>
          <w:marRight w:val="0"/>
          <w:marTop w:val="0"/>
          <w:marBottom w:val="0"/>
          <w:divBdr>
            <w:top w:val="none" w:sz="0" w:space="0" w:color="auto"/>
            <w:left w:val="none" w:sz="0" w:space="0" w:color="auto"/>
            <w:bottom w:val="none" w:sz="0" w:space="0" w:color="auto"/>
            <w:right w:val="none" w:sz="0" w:space="0" w:color="auto"/>
          </w:divBdr>
        </w:div>
        <w:div w:id="1173760364">
          <w:marLeft w:val="0"/>
          <w:marRight w:val="0"/>
          <w:marTop w:val="0"/>
          <w:marBottom w:val="0"/>
          <w:divBdr>
            <w:top w:val="none" w:sz="0" w:space="0" w:color="auto"/>
            <w:left w:val="none" w:sz="0" w:space="0" w:color="auto"/>
            <w:bottom w:val="none" w:sz="0" w:space="0" w:color="auto"/>
            <w:right w:val="none" w:sz="0" w:space="0" w:color="auto"/>
          </w:divBdr>
        </w:div>
        <w:div w:id="1645236868">
          <w:marLeft w:val="0"/>
          <w:marRight w:val="0"/>
          <w:marTop w:val="0"/>
          <w:marBottom w:val="0"/>
          <w:divBdr>
            <w:top w:val="none" w:sz="0" w:space="0" w:color="auto"/>
            <w:left w:val="none" w:sz="0" w:space="0" w:color="auto"/>
            <w:bottom w:val="none" w:sz="0" w:space="0" w:color="auto"/>
            <w:right w:val="none" w:sz="0" w:space="0" w:color="auto"/>
          </w:divBdr>
        </w:div>
        <w:div w:id="1744451030">
          <w:marLeft w:val="0"/>
          <w:marRight w:val="0"/>
          <w:marTop w:val="0"/>
          <w:marBottom w:val="0"/>
          <w:divBdr>
            <w:top w:val="none" w:sz="0" w:space="0" w:color="auto"/>
            <w:left w:val="none" w:sz="0" w:space="0" w:color="auto"/>
            <w:bottom w:val="none" w:sz="0" w:space="0" w:color="auto"/>
            <w:right w:val="none" w:sz="0" w:space="0" w:color="auto"/>
          </w:divBdr>
        </w:div>
      </w:divsChild>
    </w:div>
    <w:div w:id="775835376">
      <w:bodyDiv w:val="1"/>
      <w:marLeft w:val="0"/>
      <w:marRight w:val="0"/>
      <w:marTop w:val="0"/>
      <w:marBottom w:val="0"/>
      <w:divBdr>
        <w:top w:val="none" w:sz="0" w:space="0" w:color="auto"/>
        <w:left w:val="none" w:sz="0" w:space="0" w:color="auto"/>
        <w:bottom w:val="none" w:sz="0" w:space="0" w:color="auto"/>
        <w:right w:val="none" w:sz="0" w:space="0" w:color="auto"/>
      </w:divBdr>
      <w:divsChild>
        <w:div w:id="668169322">
          <w:marLeft w:val="0"/>
          <w:marRight w:val="0"/>
          <w:marTop w:val="0"/>
          <w:marBottom w:val="0"/>
          <w:divBdr>
            <w:top w:val="none" w:sz="0" w:space="0" w:color="auto"/>
            <w:left w:val="none" w:sz="0" w:space="0" w:color="auto"/>
            <w:bottom w:val="none" w:sz="0" w:space="0" w:color="auto"/>
            <w:right w:val="none" w:sz="0" w:space="0" w:color="auto"/>
          </w:divBdr>
          <w:divsChild>
            <w:div w:id="1569999281">
              <w:marLeft w:val="0"/>
              <w:marRight w:val="0"/>
              <w:marTop w:val="0"/>
              <w:marBottom w:val="0"/>
              <w:divBdr>
                <w:top w:val="none" w:sz="0" w:space="0" w:color="auto"/>
                <w:left w:val="none" w:sz="0" w:space="0" w:color="auto"/>
                <w:bottom w:val="none" w:sz="0" w:space="0" w:color="auto"/>
                <w:right w:val="none" w:sz="0" w:space="0" w:color="auto"/>
              </w:divBdr>
              <w:divsChild>
                <w:div w:id="257522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8454836">
      <w:bodyDiv w:val="1"/>
      <w:marLeft w:val="0"/>
      <w:marRight w:val="0"/>
      <w:marTop w:val="0"/>
      <w:marBottom w:val="0"/>
      <w:divBdr>
        <w:top w:val="none" w:sz="0" w:space="0" w:color="auto"/>
        <w:left w:val="none" w:sz="0" w:space="0" w:color="auto"/>
        <w:bottom w:val="none" w:sz="0" w:space="0" w:color="auto"/>
        <w:right w:val="none" w:sz="0" w:space="0" w:color="auto"/>
      </w:divBdr>
      <w:divsChild>
        <w:div w:id="1558399573">
          <w:marLeft w:val="0"/>
          <w:marRight w:val="0"/>
          <w:marTop w:val="0"/>
          <w:marBottom w:val="0"/>
          <w:divBdr>
            <w:top w:val="none" w:sz="0" w:space="0" w:color="auto"/>
            <w:left w:val="none" w:sz="0" w:space="0" w:color="auto"/>
            <w:bottom w:val="none" w:sz="0" w:space="0" w:color="auto"/>
            <w:right w:val="none" w:sz="0" w:space="0" w:color="auto"/>
          </w:divBdr>
        </w:div>
        <w:div w:id="1771317427">
          <w:marLeft w:val="0"/>
          <w:marRight w:val="0"/>
          <w:marTop w:val="0"/>
          <w:marBottom w:val="0"/>
          <w:divBdr>
            <w:top w:val="none" w:sz="0" w:space="0" w:color="auto"/>
            <w:left w:val="none" w:sz="0" w:space="0" w:color="auto"/>
            <w:bottom w:val="none" w:sz="0" w:space="0" w:color="auto"/>
            <w:right w:val="none" w:sz="0" w:space="0" w:color="auto"/>
          </w:divBdr>
        </w:div>
      </w:divsChild>
    </w:div>
    <w:div w:id="801536832">
      <w:bodyDiv w:val="1"/>
      <w:marLeft w:val="0"/>
      <w:marRight w:val="0"/>
      <w:marTop w:val="0"/>
      <w:marBottom w:val="0"/>
      <w:divBdr>
        <w:top w:val="none" w:sz="0" w:space="0" w:color="auto"/>
        <w:left w:val="none" w:sz="0" w:space="0" w:color="auto"/>
        <w:bottom w:val="none" w:sz="0" w:space="0" w:color="auto"/>
        <w:right w:val="none" w:sz="0" w:space="0" w:color="auto"/>
      </w:divBdr>
      <w:divsChild>
        <w:div w:id="701710689">
          <w:marLeft w:val="0"/>
          <w:marRight w:val="0"/>
          <w:marTop w:val="0"/>
          <w:marBottom w:val="0"/>
          <w:divBdr>
            <w:top w:val="none" w:sz="0" w:space="0" w:color="auto"/>
            <w:left w:val="none" w:sz="0" w:space="0" w:color="auto"/>
            <w:bottom w:val="none" w:sz="0" w:space="0" w:color="auto"/>
            <w:right w:val="none" w:sz="0" w:space="0" w:color="auto"/>
          </w:divBdr>
        </w:div>
        <w:div w:id="1355426216">
          <w:marLeft w:val="0"/>
          <w:marRight w:val="0"/>
          <w:marTop w:val="0"/>
          <w:marBottom w:val="0"/>
          <w:divBdr>
            <w:top w:val="none" w:sz="0" w:space="0" w:color="auto"/>
            <w:left w:val="none" w:sz="0" w:space="0" w:color="auto"/>
            <w:bottom w:val="none" w:sz="0" w:space="0" w:color="auto"/>
            <w:right w:val="none" w:sz="0" w:space="0" w:color="auto"/>
          </w:divBdr>
        </w:div>
        <w:div w:id="1357776234">
          <w:marLeft w:val="0"/>
          <w:marRight w:val="0"/>
          <w:marTop w:val="0"/>
          <w:marBottom w:val="0"/>
          <w:divBdr>
            <w:top w:val="none" w:sz="0" w:space="0" w:color="auto"/>
            <w:left w:val="none" w:sz="0" w:space="0" w:color="auto"/>
            <w:bottom w:val="none" w:sz="0" w:space="0" w:color="auto"/>
            <w:right w:val="none" w:sz="0" w:space="0" w:color="auto"/>
          </w:divBdr>
        </w:div>
      </w:divsChild>
    </w:div>
    <w:div w:id="814374113">
      <w:bodyDiv w:val="1"/>
      <w:marLeft w:val="0"/>
      <w:marRight w:val="0"/>
      <w:marTop w:val="0"/>
      <w:marBottom w:val="0"/>
      <w:divBdr>
        <w:top w:val="none" w:sz="0" w:space="0" w:color="auto"/>
        <w:left w:val="none" w:sz="0" w:space="0" w:color="auto"/>
        <w:bottom w:val="none" w:sz="0" w:space="0" w:color="auto"/>
        <w:right w:val="none" w:sz="0" w:space="0" w:color="auto"/>
      </w:divBdr>
    </w:div>
    <w:div w:id="833716160">
      <w:bodyDiv w:val="1"/>
      <w:marLeft w:val="0"/>
      <w:marRight w:val="0"/>
      <w:marTop w:val="0"/>
      <w:marBottom w:val="0"/>
      <w:divBdr>
        <w:top w:val="none" w:sz="0" w:space="0" w:color="auto"/>
        <w:left w:val="none" w:sz="0" w:space="0" w:color="auto"/>
        <w:bottom w:val="none" w:sz="0" w:space="0" w:color="auto"/>
        <w:right w:val="none" w:sz="0" w:space="0" w:color="auto"/>
      </w:divBdr>
    </w:div>
    <w:div w:id="848564954">
      <w:bodyDiv w:val="1"/>
      <w:marLeft w:val="0"/>
      <w:marRight w:val="0"/>
      <w:marTop w:val="0"/>
      <w:marBottom w:val="0"/>
      <w:divBdr>
        <w:top w:val="none" w:sz="0" w:space="0" w:color="auto"/>
        <w:left w:val="none" w:sz="0" w:space="0" w:color="auto"/>
        <w:bottom w:val="none" w:sz="0" w:space="0" w:color="auto"/>
        <w:right w:val="none" w:sz="0" w:space="0" w:color="auto"/>
      </w:divBdr>
      <w:divsChild>
        <w:div w:id="179199346">
          <w:marLeft w:val="0"/>
          <w:marRight w:val="0"/>
          <w:marTop w:val="0"/>
          <w:marBottom w:val="0"/>
          <w:divBdr>
            <w:top w:val="none" w:sz="0" w:space="0" w:color="auto"/>
            <w:left w:val="none" w:sz="0" w:space="0" w:color="auto"/>
            <w:bottom w:val="none" w:sz="0" w:space="0" w:color="auto"/>
            <w:right w:val="none" w:sz="0" w:space="0" w:color="auto"/>
          </w:divBdr>
        </w:div>
        <w:div w:id="1889797625">
          <w:marLeft w:val="0"/>
          <w:marRight w:val="0"/>
          <w:marTop w:val="0"/>
          <w:marBottom w:val="0"/>
          <w:divBdr>
            <w:top w:val="none" w:sz="0" w:space="0" w:color="auto"/>
            <w:left w:val="none" w:sz="0" w:space="0" w:color="auto"/>
            <w:bottom w:val="none" w:sz="0" w:space="0" w:color="auto"/>
            <w:right w:val="none" w:sz="0" w:space="0" w:color="auto"/>
          </w:divBdr>
        </w:div>
      </w:divsChild>
    </w:div>
    <w:div w:id="859785143">
      <w:bodyDiv w:val="1"/>
      <w:marLeft w:val="0"/>
      <w:marRight w:val="0"/>
      <w:marTop w:val="0"/>
      <w:marBottom w:val="0"/>
      <w:divBdr>
        <w:top w:val="none" w:sz="0" w:space="0" w:color="auto"/>
        <w:left w:val="none" w:sz="0" w:space="0" w:color="auto"/>
        <w:bottom w:val="none" w:sz="0" w:space="0" w:color="auto"/>
        <w:right w:val="none" w:sz="0" w:space="0" w:color="auto"/>
      </w:divBdr>
    </w:div>
    <w:div w:id="868954398">
      <w:bodyDiv w:val="1"/>
      <w:marLeft w:val="0"/>
      <w:marRight w:val="0"/>
      <w:marTop w:val="0"/>
      <w:marBottom w:val="0"/>
      <w:divBdr>
        <w:top w:val="none" w:sz="0" w:space="0" w:color="auto"/>
        <w:left w:val="none" w:sz="0" w:space="0" w:color="auto"/>
        <w:bottom w:val="none" w:sz="0" w:space="0" w:color="auto"/>
        <w:right w:val="none" w:sz="0" w:space="0" w:color="auto"/>
      </w:divBdr>
    </w:div>
    <w:div w:id="871068244">
      <w:bodyDiv w:val="1"/>
      <w:marLeft w:val="0"/>
      <w:marRight w:val="0"/>
      <w:marTop w:val="0"/>
      <w:marBottom w:val="0"/>
      <w:divBdr>
        <w:top w:val="none" w:sz="0" w:space="0" w:color="auto"/>
        <w:left w:val="none" w:sz="0" w:space="0" w:color="auto"/>
        <w:bottom w:val="none" w:sz="0" w:space="0" w:color="auto"/>
        <w:right w:val="none" w:sz="0" w:space="0" w:color="auto"/>
      </w:divBdr>
      <w:divsChild>
        <w:div w:id="1155338022">
          <w:marLeft w:val="0"/>
          <w:marRight w:val="0"/>
          <w:marTop w:val="0"/>
          <w:marBottom w:val="0"/>
          <w:divBdr>
            <w:top w:val="none" w:sz="0" w:space="0" w:color="auto"/>
            <w:left w:val="none" w:sz="0" w:space="0" w:color="auto"/>
            <w:bottom w:val="none" w:sz="0" w:space="0" w:color="auto"/>
            <w:right w:val="none" w:sz="0" w:space="0" w:color="auto"/>
          </w:divBdr>
          <w:divsChild>
            <w:div w:id="381832939">
              <w:marLeft w:val="0"/>
              <w:marRight w:val="0"/>
              <w:marTop w:val="0"/>
              <w:marBottom w:val="0"/>
              <w:divBdr>
                <w:top w:val="none" w:sz="0" w:space="0" w:color="auto"/>
                <w:left w:val="none" w:sz="0" w:space="0" w:color="auto"/>
                <w:bottom w:val="none" w:sz="0" w:space="0" w:color="auto"/>
                <w:right w:val="none" w:sz="0" w:space="0" w:color="auto"/>
              </w:divBdr>
              <w:divsChild>
                <w:div w:id="1652755521">
                  <w:marLeft w:val="0"/>
                  <w:marRight w:val="0"/>
                  <w:marTop w:val="0"/>
                  <w:marBottom w:val="0"/>
                  <w:divBdr>
                    <w:top w:val="none" w:sz="0" w:space="0" w:color="auto"/>
                    <w:left w:val="none" w:sz="0" w:space="0" w:color="auto"/>
                    <w:bottom w:val="none" w:sz="0" w:space="0" w:color="auto"/>
                    <w:right w:val="none" w:sz="0" w:space="0" w:color="auto"/>
                  </w:divBdr>
                </w:div>
              </w:divsChild>
            </w:div>
            <w:div w:id="2098594287">
              <w:marLeft w:val="0"/>
              <w:marRight w:val="0"/>
              <w:marTop w:val="0"/>
              <w:marBottom w:val="0"/>
              <w:divBdr>
                <w:top w:val="none" w:sz="0" w:space="0" w:color="auto"/>
                <w:left w:val="none" w:sz="0" w:space="0" w:color="auto"/>
                <w:bottom w:val="none" w:sz="0" w:space="0" w:color="auto"/>
                <w:right w:val="none" w:sz="0" w:space="0" w:color="auto"/>
              </w:divBdr>
              <w:divsChild>
                <w:div w:id="75262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704916">
          <w:marLeft w:val="0"/>
          <w:marRight w:val="0"/>
          <w:marTop w:val="0"/>
          <w:marBottom w:val="0"/>
          <w:divBdr>
            <w:top w:val="none" w:sz="0" w:space="0" w:color="auto"/>
            <w:left w:val="none" w:sz="0" w:space="0" w:color="auto"/>
            <w:bottom w:val="none" w:sz="0" w:space="0" w:color="auto"/>
            <w:right w:val="none" w:sz="0" w:space="0" w:color="auto"/>
          </w:divBdr>
          <w:divsChild>
            <w:div w:id="192769000">
              <w:marLeft w:val="0"/>
              <w:marRight w:val="0"/>
              <w:marTop w:val="0"/>
              <w:marBottom w:val="0"/>
              <w:divBdr>
                <w:top w:val="none" w:sz="0" w:space="0" w:color="auto"/>
                <w:left w:val="none" w:sz="0" w:space="0" w:color="auto"/>
                <w:bottom w:val="none" w:sz="0" w:space="0" w:color="auto"/>
                <w:right w:val="none" w:sz="0" w:space="0" w:color="auto"/>
              </w:divBdr>
              <w:divsChild>
                <w:div w:id="210017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7081956">
      <w:bodyDiv w:val="1"/>
      <w:marLeft w:val="0"/>
      <w:marRight w:val="0"/>
      <w:marTop w:val="0"/>
      <w:marBottom w:val="0"/>
      <w:divBdr>
        <w:top w:val="none" w:sz="0" w:space="0" w:color="auto"/>
        <w:left w:val="none" w:sz="0" w:space="0" w:color="auto"/>
        <w:bottom w:val="none" w:sz="0" w:space="0" w:color="auto"/>
        <w:right w:val="none" w:sz="0" w:space="0" w:color="auto"/>
      </w:divBdr>
      <w:divsChild>
        <w:div w:id="561673547">
          <w:marLeft w:val="0"/>
          <w:marRight w:val="0"/>
          <w:marTop w:val="0"/>
          <w:marBottom w:val="0"/>
          <w:divBdr>
            <w:top w:val="none" w:sz="0" w:space="0" w:color="auto"/>
            <w:left w:val="none" w:sz="0" w:space="0" w:color="auto"/>
            <w:bottom w:val="none" w:sz="0" w:space="0" w:color="auto"/>
            <w:right w:val="none" w:sz="0" w:space="0" w:color="auto"/>
          </w:divBdr>
        </w:div>
        <w:div w:id="952856775">
          <w:marLeft w:val="0"/>
          <w:marRight w:val="0"/>
          <w:marTop w:val="0"/>
          <w:marBottom w:val="0"/>
          <w:divBdr>
            <w:top w:val="none" w:sz="0" w:space="0" w:color="auto"/>
            <w:left w:val="none" w:sz="0" w:space="0" w:color="auto"/>
            <w:bottom w:val="none" w:sz="0" w:space="0" w:color="auto"/>
            <w:right w:val="none" w:sz="0" w:space="0" w:color="auto"/>
          </w:divBdr>
        </w:div>
        <w:div w:id="1864130932">
          <w:marLeft w:val="0"/>
          <w:marRight w:val="0"/>
          <w:marTop w:val="0"/>
          <w:marBottom w:val="0"/>
          <w:divBdr>
            <w:top w:val="none" w:sz="0" w:space="0" w:color="auto"/>
            <w:left w:val="none" w:sz="0" w:space="0" w:color="auto"/>
            <w:bottom w:val="none" w:sz="0" w:space="0" w:color="auto"/>
            <w:right w:val="none" w:sz="0" w:space="0" w:color="auto"/>
          </w:divBdr>
        </w:div>
      </w:divsChild>
    </w:div>
    <w:div w:id="878977295">
      <w:bodyDiv w:val="1"/>
      <w:marLeft w:val="0"/>
      <w:marRight w:val="0"/>
      <w:marTop w:val="0"/>
      <w:marBottom w:val="0"/>
      <w:divBdr>
        <w:top w:val="none" w:sz="0" w:space="0" w:color="auto"/>
        <w:left w:val="none" w:sz="0" w:space="0" w:color="auto"/>
        <w:bottom w:val="none" w:sz="0" w:space="0" w:color="auto"/>
        <w:right w:val="none" w:sz="0" w:space="0" w:color="auto"/>
      </w:divBdr>
    </w:div>
    <w:div w:id="889537853">
      <w:bodyDiv w:val="1"/>
      <w:marLeft w:val="0"/>
      <w:marRight w:val="0"/>
      <w:marTop w:val="0"/>
      <w:marBottom w:val="0"/>
      <w:divBdr>
        <w:top w:val="none" w:sz="0" w:space="0" w:color="auto"/>
        <w:left w:val="none" w:sz="0" w:space="0" w:color="auto"/>
        <w:bottom w:val="none" w:sz="0" w:space="0" w:color="auto"/>
        <w:right w:val="none" w:sz="0" w:space="0" w:color="auto"/>
      </w:divBdr>
    </w:div>
    <w:div w:id="903763738">
      <w:bodyDiv w:val="1"/>
      <w:marLeft w:val="0"/>
      <w:marRight w:val="0"/>
      <w:marTop w:val="0"/>
      <w:marBottom w:val="0"/>
      <w:divBdr>
        <w:top w:val="none" w:sz="0" w:space="0" w:color="auto"/>
        <w:left w:val="none" w:sz="0" w:space="0" w:color="auto"/>
        <w:bottom w:val="none" w:sz="0" w:space="0" w:color="auto"/>
        <w:right w:val="none" w:sz="0" w:space="0" w:color="auto"/>
      </w:divBdr>
      <w:divsChild>
        <w:div w:id="774209100">
          <w:marLeft w:val="547"/>
          <w:marRight w:val="0"/>
          <w:marTop w:val="120"/>
          <w:marBottom w:val="0"/>
          <w:divBdr>
            <w:top w:val="none" w:sz="0" w:space="0" w:color="auto"/>
            <w:left w:val="none" w:sz="0" w:space="0" w:color="auto"/>
            <w:bottom w:val="none" w:sz="0" w:space="0" w:color="auto"/>
            <w:right w:val="none" w:sz="0" w:space="0" w:color="auto"/>
          </w:divBdr>
        </w:div>
        <w:div w:id="1389105587">
          <w:marLeft w:val="547"/>
          <w:marRight w:val="0"/>
          <w:marTop w:val="120"/>
          <w:marBottom w:val="0"/>
          <w:divBdr>
            <w:top w:val="none" w:sz="0" w:space="0" w:color="auto"/>
            <w:left w:val="none" w:sz="0" w:space="0" w:color="auto"/>
            <w:bottom w:val="none" w:sz="0" w:space="0" w:color="auto"/>
            <w:right w:val="none" w:sz="0" w:space="0" w:color="auto"/>
          </w:divBdr>
        </w:div>
        <w:div w:id="1560021457">
          <w:marLeft w:val="547"/>
          <w:marRight w:val="0"/>
          <w:marTop w:val="180"/>
          <w:marBottom w:val="0"/>
          <w:divBdr>
            <w:top w:val="none" w:sz="0" w:space="0" w:color="auto"/>
            <w:left w:val="none" w:sz="0" w:space="0" w:color="auto"/>
            <w:bottom w:val="none" w:sz="0" w:space="0" w:color="auto"/>
            <w:right w:val="none" w:sz="0" w:space="0" w:color="auto"/>
          </w:divBdr>
        </w:div>
        <w:div w:id="1598904643">
          <w:marLeft w:val="547"/>
          <w:marRight w:val="0"/>
          <w:marTop w:val="180"/>
          <w:marBottom w:val="0"/>
          <w:divBdr>
            <w:top w:val="none" w:sz="0" w:space="0" w:color="auto"/>
            <w:left w:val="none" w:sz="0" w:space="0" w:color="auto"/>
            <w:bottom w:val="none" w:sz="0" w:space="0" w:color="auto"/>
            <w:right w:val="none" w:sz="0" w:space="0" w:color="auto"/>
          </w:divBdr>
        </w:div>
        <w:div w:id="1732191159">
          <w:marLeft w:val="547"/>
          <w:marRight w:val="0"/>
          <w:marTop w:val="180"/>
          <w:marBottom w:val="0"/>
          <w:divBdr>
            <w:top w:val="none" w:sz="0" w:space="0" w:color="auto"/>
            <w:left w:val="none" w:sz="0" w:space="0" w:color="auto"/>
            <w:bottom w:val="none" w:sz="0" w:space="0" w:color="auto"/>
            <w:right w:val="none" w:sz="0" w:space="0" w:color="auto"/>
          </w:divBdr>
        </w:div>
        <w:div w:id="1827743554">
          <w:marLeft w:val="547"/>
          <w:marRight w:val="0"/>
          <w:marTop w:val="180"/>
          <w:marBottom w:val="0"/>
          <w:divBdr>
            <w:top w:val="none" w:sz="0" w:space="0" w:color="auto"/>
            <w:left w:val="none" w:sz="0" w:space="0" w:color="auto"/>
            <w:bottom w:val="none" w:sz="0" w:space="0" w:color="auto"/>
            <w:right w:val="none" w:sz="0" w:space="0" w:color="auto"/>
          </w:divBdr>
        </w:div>
      </w:divsChild>
    </w:div>
    <w:div w:id="905607334">
      <w:bodyDiv w:val="1"/>
      <w:marLeft w:val="0"/>
      <w:marRight w:val="0"/>
      <w:marTop w:val="0"/>
      <w:marBottom w:val="0"/>
      <w:divBdr>
        <w:top w:val="none" w:sz="0" w:space="0" w:color="auto"/>
        <w:left w:val="none" w:sz="0" w:space="0" w:color="auto"/>
        <w:bottom w:val="none" w:sz="0" w:space="0" w:color="auto"/>
        <w:right w:val="none" w:sz="0" w:space="0" w:color="auto"/>
      </w:divBdr>
    </w:div>
    <w:div w:id="916669829">
      <w:bodyDiv w:val="1"/>
      <w:marLeft w:val="0"/>
      <w:marRight w:val="0"/>
      <w:marTop w:val="0"/>
      <w:marBottom w:val="0"/>
      <w:divBdr>
        <w:top w:val="none" w:sz="0" w:space="0" w:color="auto"/>
        <w:left w:val="none" w:sz="0" w:space="0" w:color="auto"/>
        <w:bottom w:val="none" w:sz="0" w:space="0" w:color="auto"/>
        <w:right w:val="none" w:sz="0" w:space="0" w:color="auto"/>
      </w:divBdr>
    </w:div>
    <w:div w:id="930431446">
      <w:bodyDiv w:val="1"/>
      <w:marLeft w:val="0"/>
      <w:marRight w:val="0"/>
      <w:marTop w:val="0"/>
      <w:marBottom w:val="0"/>
      <w:divBdr>
        <w:top w:val="none" w:sz="0" w:space="0" w:color="auto"/>
        <w:left w:val="none" w:sz="0" w:space="0" w:color="auto"/>
        <w:bottom w:val="none" w:sz="0" w:space="0" w:color="auto"/>
        <w:right w:val="none" w:sz="0" w:space="0" w:color="auto"/>
      </w:divBdr>
      <w:divsChild>
        <w:div w:id="922954546">
          <w:marLeft w:val="0"/>
          <w:marRight w:val="0"/>
          <w:marTop w:val="0"/>
          <w:marBottom w:val="0"/>
          <w:divBdr>
            <w:top w:val="none" w:sz="0" w:space="0" w:color="auto"/>
            <w:left w:val="none" w:sz="0" w:space="0" w:color="auto"/>
            <w:bottom w:val="none" w:sz="0" w:space="0" w:color="auto"/>
            <w:right w:val="none" w:sz="0" w:space="0" w:color="auto"/>
          </w:divBdr>
        </w:div>
        <w:div w:id="1057320185">
          <w:marLeft w:val="0"/>
          <w:marRight w:val="0"/>
          <w:marTop w:val="0"/>
          <w:marBottom w:val="0"/>
          <w:divBdr>
            <w:top w:val="none" w:sz="0" w:space="0" w:color="auto"/>
            <w:left w:val="none" w:sz="0" w:space="0" w:color="auto"/>
            <w:bottom w:val="none" w:sz="0" w:space="0" w:color="auto"/>
            <w:right w:val="none" w:sz="0" w:space="0" w:color="auto"/>
          </w:divBdr>
        </w:div>
      </w:divsChild>
    </w:div>
    <w:div w:id="955798451">
      <w:bodyDiv w:val="1"/>
      <w:marLeft w:val="0"/>
      <w:marRight w:val="0"/>
      <w:marTop w:val="0"/>
      <w:marBottom w:val="0"/>
      <w:divBdr>
        <w:top w:val="none" w:sz="0" w:space="0" w:color="auto"/>
        <w:left w:val="none" w:sz="0" w:space="0" w:color="auto"/>
        <w:bottom w:val="none" w:sz="0" w:space="0" w:color="auto"/>
        <w:right w:val="none" w:sz="0" w:space="0" w:color="auto"/>
      </w:divBdr>
    </w:div>
    <w:div w:id="971594260">
      <w:bodyDiv w:val="1"/>
      <w:marLeft w:val="0"/>
      <w:marRight w:val="0"/>
      <w:marTop w:val="0"/>
      <w:marBottom w:val="0"/>
      <w:divBdr>
        <w:top w:val="none" w:sz="0" w:space="0" w:color="auto"/>
        <w:left w:val="none" w:sz="0" w:space="0" w:color="auto"/>
        <w:bottom w:val="none" w:sz="0" w:space="0" w:color="auto"/>
        <w:right w:val="none" w:sz="0" w:space="0" w:color="auto"/>
      </w:divBdr>
    </w:div>
    <w:div w:id="975336825">
      <w:bodyDiv w:val="1"/>
      <w:marLeft w:val="0"/>
      <w:marRight w:val="0"/>
      <w:marTop w:val="0"/>
      <w:marBottom w:val="0"/>
      <w:divBdr>
        <w:top w:val="none" w:sz="0" w:space="0" w:color="auto"/>
        <w:left w:val="none" w:sz="0" w:space="0" w:color="auto"/>
        <w:bottom w:val="none" w:sz="0" w:space="0" w:color="auto"/>
        <w:right w:val="none" w:sz="0" w:space="0" w:color="auto"/>
      </w:divBdr>
    </w:div>
    <w:div w:id="980041150">
      <w:bodyDiv w:val="1"/>
      <w:marLeft w:val="0"/>
      <w:marRight w:val="0"/>
      <w:marTop w:val="0"/>
      <w:marBottom w:val="0"/>
      <w:divBdr>
        <w:top w:val="none" w:sz="0" w:space="0" w:color="auto"/>
        <w:left w:val="none" w:sz="0" w:space="0" w:color="auto"/>
        <w:bottom w:val="none" w:sz="0" w:space="0" w:color="auto"/>
        <w:right w:val="none" w:sz="0" w:space="0" w:color="auto"/>
      </w:divBdr>
      <w:divsChild>
        <w:div w:id="1192767624">
          <w:marLeft w:val="0"/>
          <w:marRight w:val="0"/>
          <w:marTop w:val="0"/>
          <w:marBottom w:val="0"/>
          <w:divBdr>
            <w:top w:val="none" w:sz="0" w:space="0" w:color="auto"/>
            <w:left w:val="none" w:sz="0" w:space="0" w:color="auto"/>
            <w:bottom w:val="none" w:sz="0" w:space="0" w:color="auto"/>
            <w:right w:val="none" w:sz="0" w:space="0" w:color="auto"/>
          </w:divBdr>
        </w:div>
        <w:div w:id="1763724351">
          <w:marLeft w:val="0"/>
          <w:marRight w:val="0"/>
          <w:marTop w:val="0"/>
          <w:marBottom w:val="0"/>
          <w:divBdr>
            <w:top w:val="none" w:sz="0" w:space="0" w:color="auto"/>
            <w:left w:val="none" w:sz="0" w:space="0" w:color="auto"/>
            <w:bottom w:val="none" w:sz="0" w:space="0" w:color="auto"/>
            <w:right w:val="none" w:sz="0" w:space="0" w:color="auto"/>
          </w:divBdr>
        </w:div>
      </w:divsChild>
    </w:div>
    <w:div w:id="981231077">
      <w:bodyDiv w:val="1"/>
      <w:marLeft w:val="0"/>
      <w:marRight w:val="0"/>
      <w:marTop w:val="0"/>
      <w:marBottom w:val="0"/>
      <w:divBdr>
        <w:top w:val="none" w:sz="0" w:space="0" w:color="auto"/>
        <w:left w:val="none" w:sz="0" w:space="0" w:color="auto"/>
        <w:bottom w:val="none" w:sz="0" w:space="0" w:color="auto"/>
        <w:right w:val="none" w:sz="0" w:space="0" w:color="auto"/>
      </w:divBdr>
      <w:divsChild>
        <w:div w:id="602617498">
          <w:marLeft w:val="0"/>
          <w:marRight w:val="0"/>
          <w:marTop w:val="0"/>
          <w:marBottom w:val="0"/>
          <w:divBdr>
            <w:top w:val="none" w:sz="0" w:space="0" w:color="auto"/>
            <w:left w:val="none" w:sz="0" w:space="0" w:color="auto"/>
            <w:bottom w:val="none" w:sz="0" w:space="0" w:color="auto"/>
            <w:right w:val="none" w:sz="0" w:space="0" w:color="auto"/>
          </w:divBdr>
        </w:div>
        <w:div w:id="682973418">
          <w:marLeft w:val="0"/>
          <w:marRight w:val="0"/>
          <w:marTop w:val="0"/>
          <w:marBottom w:val="0"/>
          <w:divBdr>
            <w:top w:val="none" w:sz="0" w:space="0" w:color="auto"/>
            <w:left w:val="none" w:sz="0" w:space="0" w:color="auto"/>
            <w:bottom w:val="none" w:sz="0" w:space="0" w:color="auto"/>
            <w:right w:val="none" w:sz="0" w:space="0" w:color="auto"/>
          </w:divBdr>
        </w:div>
        <w:div w:id="691340994">
          <w:marLeft w:val="0"/>
          <w:marRight w:val="0"/>
          <w:marTop w:val="0"/>
          <w:marBottom w:val="0"/>
          <w:divBdr>
            <w:top w:val="none" w:sz="0" w:space="0" w:color="auto"/>
            <w:left w:val="none" w:sz="0" w:space="0" w:color="auto"/>
            <w:bottom w:val="none" w:sz="0" w:space="0" w:color="auto"/>
            <w:right w:val="none" w:sz="0" w:space="0" w:color="auto"/>
          </w:divBdr>
        </w:div>
        <w:div w:id="860894194">
          <w:marLeft w:val="0"/>
          <w:marRight w:val="0"/>
          <w:marTop w:val="0"/>
          <w:marBottom w:val="0"/>
          <w:divBdr>
            <w:top w:val="none" w:sz="0" w:space="0" w:color="auto"/>
            <w:left w:val="none" w:sz="0" w:space="0" w:color="auto"/>
            <w:bottom w:val="none" w:sz="0" w:space="0" w:color="auto"/>
            <w:right w:val="none" w:sz="0" w:space="0" w:color="auto"/>
          </w:divBdr>
        </w:div>
        <w:div w:id="993608679">
          <w:marLeft w:val="0"/>
          <w:marRight w:val="0"/>
          <w:marTop w:val="0"/>
          <w:marBottom w:val="0"/>
          <w:divBdr>
            <w:top w:val="none" w:sz="0" w:space="0" w:color="auto"/>
            <w:left w:val="none" w:sz="0" w:space="0" w:color="auto"/>
            <w:bottom w:val="none" w:sz="0" w:space="0" w:color="auto"/>
            <w:right w:val="none" w:sz="0" w:space="0" w:color="auto"/>
          </w:divBdr>
        </w:div>
        <w:div w:id="1322077390">
          <w:marLeft w:val="0"/>
          <w:marRight w:val="0"/>
          <w:marTop w:val="0"/>
          <w:marBottom w:val="0"/>
          <w:divBdr>
            <w:top w:val="none" w:sz="0" w:space="0" w:color="auto"/>
            <w:left w:val="none" w:sz="0" w:space="0" w:color="auto"/>
            <w:bottom w:val="none" w:sz="0" w:space="0" w:color="auto"/>
            <w:right w:val="none" w:sz="0" w:space="0" w:color="auto"/>
          </w:divBdr>
        </w:div>
        <w:div w:id="1735662221">
          <w:marLeft w:val="0"/>
          <w:marRight w:val="0"/>
          <w:marTop w:val="0"/>
          <w:marBottom w:val="0"/>
          <w:divBdr>
            <w:top w:val="none" w:sz="0" w:space="0" w:color="auto"/>
            <w:left w:val="none" w:sz="0" w:space="0" w:color="auto"/>
            <w:bottom w:val="none" w:sz="0" w:space="0" w:color="auto"/>
            <w:right w:val="none" w:sz="0" w:space="0" w:color="auto"/>
          </w:divBdr>
        </w:div>
      </w:divsChild>
    </w:div>
    <w:div w:id="1002438716">
      <w:bodyDiv w:val="1"/>
      <w:marLeft w:val="0"/>
      <w:marRight w:val="0"/>
      <w:marTop w:val="0"/>
      <w:marBottom w:val="0"/>
      <w:divBdr>
        <w:top w:val="none" w:sz="0" w:space="0" w:color="auto"/>
        <w:left w:val="none" w:sz="0" w:space="0" w:color="auto"/>
        <w:bottom w:val="none" w:sz="0" w:space="0" w:color="auto"/>
        <w:right w:val="none" w:sz="0" w:space="0" w:color="auto"/>
      </w:divBdr>
    </w:div>
    <w:div w:id="1017074164">
      <w:bodyDiv w:val="1"/>
      <w:marLeft w:val="0"/>
      <w:marRight w:val="0"/>
      <w:marTop w:val="0"/>
      <w:marBottom w:val="0"/>
      <w:divBdr>
        <w:top w:val="none" w:sz="0" w:space="0" w:color="auto"/>
        <w:left w:val="none" w:sz="0" w:space="0" w:color="auto"/>
        <w:bottom w:val="none" w:sz="0" w:space="0" w:color="auto"/>
        <w:right w:val="none" w:sz="0" w:space="0" w:color="auto"/>
      </w:divBdr>
      <w:divsChild>
        <w:div w:id="1159468752">
          <w:marLeft w:val="0"/>
          <w:marRight w:val="0"/>
          <w:marTop w:val="0"/>
          <w:marBottom w:val="0"/>
          <w:divBdr>
            <w:top w:val="none" w:sz="0" w:space="0" w:color="auto"/>
            <w:left w:val="none" w:sz="0" w:space="0" w:color="auto"/>
            <w:bottom w:val="none" w:sz="0" w:space="0" w:color="auto"/>
            <w:right w:val="none" w:sz="0" w:space="0" w:color="auto"/>
          </w:divBdr>
          <w:divsChild>
            <w:div w:id="1900435490">
              <w:marLeft w:val="0"/>
              <w:marRight w:val="0"/>
              <w:marTop w:val="0"/>
              <w:marBottom w:val="0"/>
              <w:divBdr>
                <w:top w:val="none" w:sz="0" w:space="0" w:color="auto"/>
                <w:left w:val="none" w:sz="0" w:space="0" w:color="auto"/>
                <w:bottom w:val="none" w:sz="0" w:space="0" w:color="auto"/>
                <w:right w:val="none" w:sz="0" w:space="0" w:color="auto"/>
              </w:divBdr>
              <w:divsChild>
                <w:div w:id="1230463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277716">
      <w:bodyDiv w:val="1"/>
      <w:marLeft w:val="0"/>
      <w:marRight w:val="0"/>
      <w:marTop w:val="0"/>
      <w:marBottom w:val="0"/>
      <w:divBdr>
        <w:top w:val="none" w:sz="0" w:space="0" w:color="auto"/>
        <w:left w:val="none" w:sz="0" w:space="0" w:color="auto"/>
        <w:bottom w:val="none" w:sz="0" w:space="0" w:color="auto"/>
        <w:right w:val="none" w:sz="0" w:space="0" w:color="auto"/>
      </w:divBdr>
      <w:divsChild>
        <w:div w:id="810243923">
          <w:marLeft w:val="0"/>
          <w:marRight w:val="0"/>
          <w:marTop w:val="0"/>
          <w:marBottom w:val="0"/>
          <w:divBdr>
            <w:top w:val="none" w:sz="0" w:space="0" w:color="auto"/>
            <w:left w:val="none" w:sz="0" w:space="0" w:color="auto"/>
            <w:bottom w:val="none" w:sz="0" w:space="0" w:color="auto"/>
            <w:right w:val="none" w:sz="0" w:space="0" w:color="auto"/>
          </w:divBdr>
        </w:div>
        <w:div w:id="1072922287">
          <w:marLeft w:val="0"/>
          <w:marRight w:val="0"/>
          <w:marTop w:val="0"/>
          <w:marBottom w:val="0"/>
          <w:divBdr>
            <w:top w:val="none" w:sz="0" w:space="0" w:color="auto"/>
            <w:left w:val="none" w:sz="0" w:space="0" w:color="auto"/>
            <w:bottom w:val="none" w:sz="0" w:space="0" w:color="auto"/>
            <w:right w:val="none" w:sz="0" w:space="0" w:color="auto"/>
          </w:divBdr>
        </w:div>
      </w:divsChild>
    </w:div>
    <w:div w:id="1047222720">
      <w:bodyDiv w:val="1"/>
      <w:marLeft w:val="0"/>
      <w:marRight w:val="0"/>
      <w:marTop w:val="0"/>
      <w:marBottom w:val="0"/>
      <w:divBdr>
        <w:top w:val="none" w:sz="0" w:space="0" w:color="auto"/>
        <w:left w:val="none" w:sz="0" w:space="0" w:color="auto"/>
        <w:bottom w:val="none" w:sz="0" w:space="0" w:color="auto"/>
        <w:right w:val="none" w:sz="0" w:space="0" w:color="auto"/>
      </w:divBdr>
    </w:div>
    <w:div w:id="1075249571">
      <w:bodyDiv w:val="1"/>
      <w:marLeft w:val="0"/>
      <w:marRight w:val="0"/>
      <w:marTop w:val="0"/>
      <w:marBottom w:val="0"/>
      <w:divBdr>
        <w:top w:val="none" w:sz="0" w:space="0" w:color="auto"/>
        <w:left w:val="none" w:sz="0" w:space="0" w:color="auto"/>
        <w:bottom w:val="none" w:sz="0" w:space="0" w:color="auto"/>
        <w:right w:val="none" w:sz="0" w:space="0" w:color="auto"/>
      </w:divBdr>
      <w:divsChild>
        <w:div w:id="599684811">
          <w:marLeft w:val="806"/>
          <w:marRight w:val="0"/>
          <w:marTop w:val="120"/>
          <w:marBottom w:val="120"/>
          <w:divBdr>
            <w:top w:val="none" w:sz="0" w:space="0" w:color="auto"/>
            <w:left w:val="none" w:sz="0" w:space="0" w:color="auto"/>
            <w:bottom w:val="none" w:sz="0" w:space="0" w:color="auto"/>
            <w:right w:val="none" w:sz="0" w:space="0" w:color="auto"/>
          </w:divBdr>
        </w:div>
        <w:div w:id="611983908">
          <w:marLeft w:val="706"/>
          <w:marRight w:val="0"/>
          <w:marTop w:val="120"/>
          <w:marBottom w:val="120"/>
          <w:divBdr>
            <w:top w:val="none" w:sz="0" w:space="0" w:color="auto"/>
            <w:left w:val="none" w:sz="0" w:space="0" w:color="auto"/>
            <w:bottom w:val="none" w:sz="0" w:space="0" w:color="auto"/>
            <w:right w:val="none" w:sz="0" w:space="0" w:color="auto"/>
          </w:divBdr>
        </w:div>
        <w:div w:id="1932081462">
          <w:marLeft w:val="806"/>
          <w:marRight w:val="0"/>
          <w:marTop w:val="120"/>
          <w:marBottom w:val="120"/>
          <w:divBdr>
            <w:top w:val="none" w:sz="0" w:space="0" w:color="auto"/>
            <w:left w:val="none" w:sz="0" w:space="0" w:color="auto"/>
            <w:bottom w:val="none" w:sz="0" w:space="0" w:color="auto"/>
            <w:right w:val="none" w:sz="0" w:space="0" w:color="auto"/>
          </w:divBdr>
        </w:div>
      </w:divsChild>
    </w:div>
    <w:div w:id="1088310391">
      <w:bodyDiv w:val="1"/>
      <w:marLeft w:val="0"/>
      <w:marRight w:val="0"/>
      <w:marTop w:val="0"/>
      <w:marBottom w:val="0"/>
      <w:divBdr>
        <w:top w:val="none" w:sz="0" w:space="0" w:color="auto"/>
        <w:left w:val="none" w:sz="0" w:space="0" w:color="auto"/>
        <w:bottom w:val="none" w:sz="0" w:space="0" w:color="auto"/>
        <w:right w:val="none" w:sz="0" w:space="0" w:color="auto"/>
      </w:divBdr>
    </w:div>
    <w:div w:id="1117288389">
      <w:bodyDiv w:val="1"/>
      <w:marLeft w:val="0"/>
      <w:marRight w:val="0"/>
      <w:marTop w:val="0"/>
      <w:marBottom w:val="0"/>
      <w:divBdr>
        <w:top w:val="none" w:sz="0" w:space="0" w:color="auto"/>
        <w:left w:val="none" w:sz="0" w:space="0" w:color="auto"/>
        <w:bottom w:val="none" w:sz="0" w:space="0" w:color="auto"/>
        <w:right w:val="none" w:sz="0" w:space="0" w:color="auto"/>
      </w:divBdr>
      <w:divsChild>
        <w:div w:id="904098002">
          <w:marLeft w:val="0"/>
          <w:marRight w:val="0"/>
          <w:marTop w:val="0"/>
          <w:marBottom w:val="0"/>
          <w:divBdr>
            <w:top w:val="none" w:sz="0" w:space="0" w:color="auto"/>
            <w:left w:val="none" w:sz="0" w:space="0" w:color="auto"/>
            <w:bottom w:val="none" w:sz="0" w:space="0" w:color="auto"/>
            <w:right w:val="none" w:sz="0" w:space="0" w:color="auto"/>
          </w:divBdr>
        </w:div>
        <w:div w:id="989286937">
          <w:marLeft w:val="0"/>
          <w:marRight w:val="0"/>
          <w:marTop w:val="0"/>
          <w:marBottom w:val="0"/>
          <w:divBdr>
            <w:top w:val="none" w:sz="0" w:space="0" w:color="auto"/>
            <w:left w:val="none" w:sz="0" w:space="0" w:color="auto"/>
            <w:bottom w:val="none" w:sz="0" w:space="0" w:color="auto"/>
            <w:right w:val="none" w:sz="0" w:space="0" w:color="auto"/>
          </w:divBdr>
        </w:div>
      </w:divsChild>
    </w:div>
    <w:div w:id="1158572511">
      <w:bodyDiv w:val="1"/>
      <w:marLeft w:val="0"/>
      <w:marRight w:val="0"/>
      <w:marTop w:val="0"/>
      <w:marBottom w:val="0"/>
      <w:divBdr>
        <w:top w:val="none" w:sz="0" w:space="0" w:color="auto"/>
        <w:left w:val="none" w:sz="0" w:space="0" w:color="auto"/>
        <w:bottom w:val="none" w:sz="0" w:space="0" w:color="auto"/>
        <w:right w:val="none" w:sz="0" w:space="0" w:color="auto"/>
      </w:divBdr>
      <w:divsChild>
        <w:div w:id="475874905">
          <w:marLeft w:val="0"/>
          <w:marRight w:val="0"/>
          <w:marTop w:val="0"/>
          <w:marBottom w:val="0"/>
          <w:divBdr>
            <w:top w:val="none" w:sz="0" w:space="0" w:color="auto"/>
            <w:left w:val="none" w:sz="0" w:space="0" w:color="auto"/>
            <w:bottom w:val="none" w:sz="0" w:space="0" w:color="auto"/>
            <w:right w:val="none" w:sz="0" w:space="0" w:color="auto"/>
          </w:divBdr>
        </w:div>
        <w:div w:id="625548768">
          <w:marLeft w:val="0"/>
          <w:marRight w:val="0"/>
          <w:marTop w:val="0"/>
          <w:marBottom w:val="0"/>
          <w:divBdr>
            <w:top w:val="none" w:sz="0" w:space="0" w:color="auto"/>
            <w:left w:val="none" w:sz="0" w:space="0" w:color="auto"/>
            <w:bottom w:val="none" w:sz="0" w:space="0" w:color="auto"/>
            <w:right w:val="none" w:sz="0" w:space="0" w:color="auto"/>
          </w:divBdr>
        </w:div>
        <w:div w:id="1055473357">
          <w:marLeft w:val="0"/>
          <w:marRight w:val="0"/>
          <w:marTop w:val="0"/>
          <w:marBottom w:val="0"/>
          <w:divBdr>
            <w:top w:val="none" w:sz="0" w:space="0" w:color="auto"/>
            <w:left w:val="none" w:sz="0" w:space="0" w:color="auto"/>
            <w:bottom w:val="none" w:sz="0" w:space="0" w:color="auto"/>
            <w:right w:val="none" w:sz="0" w:space="0" w:color="auto"/>
          </w:divBdr>
        </w:div>
        <w:div w:id="1221020296">
          <w:marLeft w:val="0"/>
          <w:marRight w:val="0"/>
          <w:marTop w:val="0"/>
          <w:marBottom w:val="0"/>
          <w:divBdr>
            <w:top w:val="none" w:sz="0" w:space="0" w:color="auto"/>
            <w:left w:val="none" w:sz="0" w:space="0" w:color="auto"/>
            <w:bottom w:val="none" w:sz="0" w:space="0" w:color="auto"/>
            <w:right w:val="none" w:sz="0" w:space="0" w:color="auto"/>
          </w:divBdr>
        </w:div>
        <w:div w:id="1572495596">
          <w:marLeft w:val="0"/>
          <w:marRight w:val="0"/>
          <w:marTop w:val="0"/>
          <w:marBottom w:val="0"/>
          <w:divBdr>
            <w:top w:val="none" w:sz="0" w:space="0" w:color="auto"/>
            <w:left w:val="none" w:sz="0" w:space="0" w:color="auto"/>
            <w:bottom w:val="none" w:sz="0" w:space="0" w:color="auto"/>
            <w:right w:val="none" w:sz="0" w:space="0" w:color="auto"/>
          </w:divBdr>
        </w:div>
        <w:div w:id="1616904217">
          <w:marLeft w:val="0"/>
          <w:marRight w:val="0"/>
          <w:marTop w:val="0"/>
          <w:marBottom w:val="0"/>
          <w:divBdr>
            <w:top w:val="none" w:sz="0" w:space="0" w:color="auto"/>
            <w:left w:val="none" w:sz="0" w:space="0" w:color="auto"/>
            <w:bottom w:val="none" w:sz="0" w:space="0" w:color="auto"/>
            <w:right w:val="none" w:sz="0" w:space="0" w:color="auto"/>
          </w:divBdr>
        </w:div>
        <w:div w:id="1639872821">
          <w:marLeft w:val="0"/>
          <w:marRight w:val="0"/>
          <w:marTop w:val="0"/>
          <w:marBottom w:val="0"/>
          <w:divBdr>
            <w:top w:val="none" w:sz="0" w:space="0" w:color="auto"/>
            <w:left w:val="none" w:sz="0" w:space="0" w:color="auto"/>
            <w:bottom w:val="none" w:sz="0" w:space="0" w:color="auto"/>
            <w:right w:val="none" w:sz="0" w:space="0" w:color="auto"/>
          </w:divBdr>
        </w:div>
        <w:div w:id="1734500707">
          <w:marLeft w:val="0"/>
          <w:marRight w:val="0"/>
          <w:marTop w:val="0"/>
          <w:marBottom w:val="0"/>
          <w:divBdr>
            <w:top w:val="none" w:sz="0" w:space="0" w:color="auto"/>
            <w:left w:val="none" w:sz="0" w:space="0" w:color="auto"/>
            <w:bottom w:val="none" w:sz="0" w:space="0" w:color="auto"/>
            <w:right w:val="none" w:sz="0" w:space="0" w:color="auto"/>
          </w:divBdr>
        </w:div>
        <w:div w:id="1869177799">
          <w:marLeft w:val="0"/>
          <w:marRight w:val="0"/>
          <w:marTop w:val="0"/>
          <w:marBottom w:val="0"/>
          <w:divBdr>
            <w:top w:val="none" w:sz="0" w:space="0" w:color="auto"/>
            <w:left w:val="none" w:sz="0" w:space="0" w:color="auto"/>
            <w:bottom w:val="none" w:sz="0" w:space="0" w:color="auto"/>
            <w:right w:val="none" w:sz="0" w:space="0" w:color="auto"/>
          </w:divBdr>
        </w:div>
      </w:divsChild>
    </w:div>
    <w:div w:id="1163736573">
      <w:bodyDiv w:val="1"/>
      <w:marLeft w:val="0"/>
      <w:marRight w:val="0"/>
      <w:marTop w:val="0"/>
      <w:marBottom w:val="0"/>
      <w:divBdr>
        <w:top w:val="none" w:sz="0" w:space="0" w:color="auto"/>
        <w:left w:val="none" w:sz="0" w:space="0" w:color="auto"/>
        <w:bottom w:val="none" w:sz="0" w:space="0" w:color="auto"/>
        <w:right w:val="none" w:sz="0" w:space="0" w:color="auto"/>
      </w:divBdr>
    </w:div>
    <w:div w:id="1166213831">
      <w:bodyDiv w:val="1"/>
      <w:marLeft w:val="0"/>
      <w:marRight w:val="0"/>
      <w:marTop w:val="0"/>
      <w:marBottom w:val="0"/>
      <w:divBdr>
        <w:top w:val="none" w:sz="0" w:space="0" w:color="auto"/>
        <w:left w:val="none" w:sz="0" w:space="0" w:color="auto"/>
        <w:bottom w:val="none" w:sz="0" w:space="0" w:color="auto"/>
        <w:right w:val="none" w:sz="0" w:space="0" w:color="auto"/>
      </w:divBdr>
      <w:divsChild>
        <w:div w:id="658190783">
          <w:marLeft w:val="0"/>
          <w:marRight w:val="0"/>
          <w:marTop w:val="0"/>
          <w:marBottom w:val="0"/>
          <w:divBdr>
            <w:top w:val="none" w:sz="0" w:space="0" w:color="auto"/>
            <w:left w:val="none" w:sz="0" w:space="0" w:color="auto"/>
            <w:bottom w:val="none" w:sz="0" w:space="0" w:color="auto"/>
            <w:right w:val="none" w:sz="0" w:space="0" w:color="auto"/>
          </w:divBdr>
        </w:div>
        <w:div w:id="1951665798">
          <w:marLeft w:val="0"/>
          <w:marRight w:val="0"/>
          <w:marTop w:val="0"/>
          <w:marBottom w:val="0"/>
          <w:divBdr>
            <w:top w:val="none" w:sz="0" w:space="0" w:color="auto"/>
            <w:left w:val="none" w:sz="0" w:space="0" w:color="auto"/>
            <w:bottom w:val="none" w:sz="0" w:space="0" w:color="auto"/>
            <w:right w:val="none" w:sz="0" w:space="0" w:color="auto"/>
          </w:divBdr>
        </w:div>
      </w:divsChild>
    </w:div>
    <w:div w:id="1172598280">
      <w:bodyDiv w:val="1"/>
      <w:marLeft w:val="0"/>
      <w:marRight w:val="0"/>
      <w:marTop w:val="0"/>
      <w:marBottom w:val="0"/>
      <w:divBdr>
        <w:top w:val="none" w:sz="0" w:space="0" w:color="auto"/>
        <w:left w:val="none" w:sz="0" w:space="0" w:color="auto"/>
        <w:bottom w:val="none" w:sz="0" w:space="0" w:color="auto"/>
        <w:right w:val="none" w:sz="0" w:space="0" w:color="auto"/>
      </w:divBdr>
      <w:divsChild>
        <w:div w:id="1986428668">
          <w:marLeft w:val="0"/>
          <w:marRight w:val="0"/>
          <w:marTop w:val="0"/>
          <w:marBottom w:val="0"/>
          <w:divBdr>
            <w:top w:val="none" w:sz="0" w:space="0" w:color="auto"/>
            <w:left w:val="none" w:sz="0" w:space="0" w:color="auto"/>
            <w:bottom w:val="none" w:sz="0" w:space="0" w:color="auto"/>
            <w:right w:val="none" w:sz="0" w:space="0" w:color="auto"/>
          </w:divBdr>
          <w:divsChild>
            <w:div w:id="1259482732">
              <w:marLeft w:val="0"/>
              <w:marRight w:val="0"/>
              <w:marTop w:val="0"/>
              <w:marBottom w:val="0"/>
              <w:divBdr>
                <w:top w:val="none" w:sz="0" w:space="0" w:color="auto"/>
                <w:left w:val="none" w:sz="0" w:space="0" w:color="auto"/>
                <w:bottom w:val="none" w:sz="0" w:space="0" w:color="auto"/>
                <w:right w:val="none" w:sz="0" w:space="0" w:color="auto"/>
              </w:divBdr>
              <w:divsChild>
                <w:div w:id="330836687">
                  <w:marLeft w:val="0"/>
                  <w:marRight w:val="0"/>
                  <w:marTop w:val="0"/>
                  <w:marBottom w:val="0"/>
                  <w:divBdr>
                    <w:top w:val="none" w:sz="0" w:space="0" w:color="auto"/>
                    <w:left w:val="none" w:sz="0" w:space="0" w:color="auto"/>
                    <w:bottom w:val="none" w:sz="0" w:space="0" w:color="auto"/>
                    <w:right w:val="none" w:sz="0" w:space="0" w:color="auto"/>
                  </w:divBdr>
                  <w:divsChild>
                    <w:div w:id="942568521">
                      <w:marLeft w:val="0"/>
                      <w:marRight w:val="0"/>
                      <w:marTop w:val="0"/>
                      <w:marBottom w:val="0"/>
                      <w:divBdr>
                        <w:top w:val="none" w:sz="0" w:space="0" w:color="auto"/>
                        <w:left w:val="none" w:sz="0" w:space="0" w:color="auto"/>
                        <w:bottom w:val="none" w:sz="0" w:space="0" w:color="auto"/>
                        <w:right w:val="none" w:sz="0" w:space="0" w:color="auto"/>
                      </w:divBdr>
                    </w:div>
                    <w:div w:id="1000961153">
                      <w:marLeft w:val="0"/>
                      <w:marRight w:val="0"/>
                      <w:marTop w:val="0"/>
                      <w:marBottom w:val="0"/>
                      <w:divBdr>
                        <w:top w:val="none" w:sz="0" w:space="0" w:color="auto"/>
                        <w:left w:val="none" w:sz="0" w:space="0" w:color="auto"/>
                        <w:bottom w:val="none" w:sz="0" w:space="0" w:color="auto"/>
                        <w:right w:val="none" w:sz="0" w:space="0" w:color="auto"/>
                      </w:divBdr>
                    </w:div>
                  </w:divsChild>
                </w:div>
                <w:div w:id="896940241">
                  <w:marLeft w:val="0"/>
                  <w:marRight w:val="0"/>
                  <w:marTop w:val="0"/>
                  <w:marBottom w:val="0"/>
                  <w:divBdr>
                    <w:top w:val="none" w:sz="0" w:space="0" w:color="auto"/>
                    <w:left w:val="none" w:sz="0" w:space="0" w:color="auto"/>
                    <w:bottom w:val="none" w:sz="0" w:space="0" w:color="auto"/>
                    <w:right w:val="none" w:sz="0" w:space="0" w:color="auto"/>
                  </w:divBdr>
                </w:div>
                <w:div w:id="1437095524">
                  <w:marLeft w:val="0"/>
                  <w:marRight w:val="0"/>
                  <w:marTop w:val="0"/>
                  <w:marBottom w:val="0"/>
                  <w:divBdr>
                    <w:top w:val="none" w:sz="0" w:space="0" w:color="auto"/>
                    <w:left w:val="none" w:sz="0" w:space="0" w:color="auto"/>
                    <w:bottom w:val="none" w:sz="0" w:space="0" w:color="auto"/>
                    <w:right w:val="none" w:sz="0" w:space="0" w:color="auto"/>
                  </w:divBdr>
                </w:div>
                <w:div w:id="1681934104">
                  <w:marLeft w:val="0"/>
                  <w:marRight w:val="0"/>
                  <w:marTop w:val="0"/>
                  <w:marBottom w:val="0"/>
                  <w:divBdr>
                    <w:top w:val="none" w:sz="0" w:space="0" w:color="auto"/>
                    <w:left w:val="none" w:sz="0" w:space="0" w:color="auto"/>
                    <w:bottom w:val="none" w:sz="0" w:space="0" w:color="auto"/>
                    <w:right w:val="none" w:sz="0" w:space="0" w:color="auto"/>
                  </w:divBdr>
                </w:div>
                <w:div w:id="1877884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577865">
      <w:bodyDiv w:val="1"/>
      <w:marLeft w:val="0"/>
      <w:marRight w:val="0"/>
      <w:marTop w:val="0"/>
      <w:marBottom w:val="0"/>
      <w:divBdr>
        <w:top w:val="none" w:sz="0" w:space="0" w:color="auto"/>
        <w:left w:val="none" w:sz="0" w:space="0" w:color="auto"/>
        <w:bottom w:val="none" w:sz="0" w:space="0" w:color="auto"/>
        <w:right w:val="none" w:sz="0" w:space="0" w:color="auto"/>
      </w:divBdr>
      <w:divsChild>
        <w:div w:id="113527877">
          <w:marLeft w:val="1166"/>
          <w:marRight w:val="0"/>
          <w:marTop w:val="120"/>
          <w:marBottom w:val="120"/>
          <w:divBdr>
            <w:top w:val="none" w:sz="0" w:space="0" w:color="auto"/>
            <w:left w:val="none" w:sz="0" w:space="0" w:color="auto"/>
            <w:bottom w:val="none" w:sz="0" w:space="0" w:color="auto"/>
            <w:right w:val="none" w:sz="0" w:space="0" w:color="auto"/>
          </w:divBdr>
        </w:div>
        <w:div w:id="748236884">
          <w:marLeft w:val="547"/>
          <w:marRight w:val="0"/>
          <w:marTop w:val="120"/>
          <w:marBottom w:val="120"/>
          <w:divBdr>
            <w:top w:val="none" w:sz="0" w:space="0" w:color="auto"/>
            <w:left w:val="none" w:sz="0" w:space="0" w:color="auto"/>
            <w:bottom w:val="none" w:sz="0" w:space="0" w:color="auto"/>
            <w:right w:val="none" w:sz="0" w:space="0" w:color="auto"/>
          </w:divBdr>
        </w:div>
        <w:div w:id="1191844707">
          <w:marLeft w:val="446"/>
          <w:marRight w:val="0"/>
          <w:marTop w:val="120"/>
          <w:marBottom w:val="120"/>
          <w:divBdr>
            <w:top w:val="none" w:sz="0" w:space="0" w:color="auto"/>
            <w:left w:val="none" w:sz="0" w:space="0" w:color="auto"/>
            <w:bottom w:val="none" w:sz="0" w:space="0" w:color="auto"/>
            <w:right w:val="none" w:sz="0" w:space="0" w:color="auto"/>
          </w:divBdr>
        </w:div>
        <w:div w:id="1882132486">
          <w:marLeft w:val="1166"/>
          <w:marRight w:val="0"/>
          <w:marTop w:val="120"/>
          <w:marBottom w:val="120"/>
          <w:divBdr>
            <w:top w:val="none" w:sz="0" w:space="0" w:color="auto"/>
            <w:left w:val="none" w:sz="0" w:space="0" w:color="auto"/>
            <w:bottom w:val="none" w:sz="0" w:space="0" w:color="auto"/>
            <w:right w:val="none" w:sz="0" w:space="0" w:color="auto"/>
          </w:divBdr>
        </w:div>
        <w:div w:id="1910845983">
          <w:marLeft w:val="1166"/>
          <w:marRight w:val="0"/>
          <w:marTop w:val="120"/>
          <w:marBottom w:val="120"/>
          <w:divBdr>
            <w:top w:val="none" w:sz="0" w:space="0" w:color="auto"/>
            <w:left w:val="none" w:sz="0" w:space="0" w:color="auto"/>
            <w:bottom w:val="none" w:sz="0" w:space="0" w:color="auto"/>
            <w:right w:val="none" w:sz="0" w:space="0" w:color="auto"/>
          </w:divBdr>
        </w:div>
      </w:divsChild>
    </w:div>
    <w:div w:id="1186863361">
      <w:bodyDiv w:val="1"/>
      <w:marLeft w:val="0"/>
      <w:marRight w:val="0"/>
      <w:marTop w:val="0"/>
      <w:marBottom w:val="0"/>
      <w:divBdr>
        <w:top w:val="none" w:sz="0" w:space="0" w:color="auto"/>
        <w:left w:val="none" w:sz="0" w:space="0" w:color="auto"/>
        <w:bottom w:val="none" w:sz="0" w:space="0" w:color="auto"/>
        <w:right w:val="none" w:sz="0" w:space="0" w:color="auto"/>
      </w:divBdr>
      <w:divsChild>
        <w:div w:id="309479849">
          <w:marLeft w:val="0"/>
          <w:marRight w:val="0"/>
          <w:marTop w:val="0"/>
          <w:marBottom w:val="0"/>
          <w:divBdr>
            <w:top w:val="none" w:sz="0" w:space="0" w:color="auto"/>
            <w:left w:val="none" w:sz="0" w:space="0" w:color="auto"/>
            <w:bottom w:val="none" w:sz="0" w:space="0" w:color="auto"/>
            <w:right w:val="none" w:sz="0" w:space="0" w:color="auto"/>
          </w:divBdr>
        </w:div>
        <w:div w:id="1046417952">
          <w:marLeft w:val="0"/>
          <w:marRight w:val="0"/>
          <w:marTop w:val="0"/>
          <w:marBottom w:val="0"/>
          <w:divBdr>
            <w:top w:val="none" w:sz="0" w:space="0" w:color="auto"/>
            <w:left w:val="none" w:sz="0" w:space="0" w:color="auto"/>
            <w:bottom w:val="none" w:sz="0" w:space="0" w:color="auto"/>
            <w:right w:val="none" w:sz="0" w:space="0" w:color="auto"/>
          </w:divBdr>
        </w:div>
        <w:div w:id="1560902601">
          <w:marLeft w:val="0"/>
          <w:marRight w:val="0"/>
          <w:marTop w:val="0"/>
          <w:marBottom w:val="0"/>
          <w:divBdr>
            <w:top w:val="none" w:sz="0" w:space="0" w:color="auto"/>
            <w:left w:val="none" w:sz="0" w:space="0" w:color="auto"/>
            <w:bottom w:val="none" w:sz="0" w:space="0" w:color="auto"/>
            <w:right w:val="none" w:sz="0" w:space="0" w:color="auto"/>
          </w:divBdr>
        </w:div>
        <w:div w:id="1916891015">
          <w:marLeft w:val="0"/>
          <w:marRight w:val="0"/>
          <w:marTop w:val="0"/>
          <w:marBottom w:val="0"/>
          <w:divBdr>
            <w:top w:val="none" w:sz="0" w:space="0" w:color="auto"/>
            <w:left w:val="none" w:sz="0" w:space="0" w:color="auto"/>
            <w:bottom w:val="none" w:sz="0" w:space="0" w:color="auto"/>
            <w:right w:val="none" w:sz="0" w:space="0" w:color="auto"/>
          </w:divBdr>
        </w:div>
        <w:div w:id="1992442965">
          <w:marLeft w:val="0"/>
          <w:marRight w:val="0"/>
          <w:marTop w:val="0"/>
          <w:marBottom w:val="0"/>
          <w:divBdr>
            <w:top w:val="none" w:sz="0" w:space="0" w:color="auto"/>
            <w:left w:val="none" w:sz="0" w:space="0" w:color="auto"/>
            <w:bottom w:val="none" w:sz="0" w:space="0" w:color="auto"/>
            <w:right w:val="none" w:sz="0" w:space="0" w:color="auto"/>
          </w:divBdr>
        </w:div>
      </w:divsChild>
    </w:div>
    <w:div w:id="1241403504">
      <w:bodyDiv w:val="1"/>
      <w:marLeft w:val="0"/>
      <w:marRight w:val="0"/>
      <w:marTop w:val="0"/>
      <w:marBottom w:val="0"/>
      <w:divBdr>
        <w:top w:val="none" w:sz="0" w:space="0" w:color="auto"/>
        <w:left w:val="none" w:sz="0" w:space="0" w:color="auto"/>
        <w:bottom w:val="none" w:sz="0" w:space="0" w:color="auto"/>
        <w:right w:val="none" w:sz="0" w:space="0" w:color="auto"/>
      </w:divBdr>
      <w:divsChild>
        <w:div w:id="1658220987">
          <w:marLeft w:val="0"/>
          <w:marRight w:val="0"/>
          <w:marTop w:val="0"/>
          <w:marBottom w:val="0"/>
          <w:divBdr>
            <w:top w:val="none" w:sz="0" w:space="0" w:color="auto"/>
            <w:left w:val="none" w:sz="0" w:space="0" w:color="auto"/>
            <w:bottom w:val="none" w:sz="0" w:space="0" w:color="auto"/>
            <w:right w:val="none" w:sz="0" w:space="0" w:color="auto"/>
          </w:divBdr>
        </w:div>
      </w:divsChild>
    </w:div>
    <w:div w:id="1242639747">
      <w:bodyDiv w:val="1"/>
      <w:marLeft w:val="0"/>
      <w:marRight w:val="0"/>
      <w:marTop w:val="0"/>
      <w:marBottom w:val="0"/>
      <w:divBdr>
        <w:top w:val="none" w:sz="0" w:space="0" w:color="auto"/>
        <w:left w:val="none" w:sz="0" w:space="0" w:color="auto"/>
        <w:bottom w:val="none" w:sz="0" w:space="0" w:color="auto"/>
        <w:right w:val="none" w:sz="0" w:space="0" w:color="auto"/>
      </w:divBdr>
    </w:div>
    <w:div w:id="1267270042">
      <w:bodyDiv w:val="1"/>
      <w:marLeft w:val="0"/>
      <w:marRight w:val="0"/>
      <w:marTop w:val="0"/>
      <w:marBottom w:val="0"/>
      <w:divBdr>
        <w:top w:val="none" w:sz="0" w:space="0" w:color="auto"/>
        <w:left w:val="none" w:sz="0" w:space="0" w:color="auto"/>
        <w:bottom w:val="none" w:sz="0" w:space="0" w:color="auto"/>
        <w:right w:val="none" w:sz="0" w:space="0" w:color="auto"/>
      </w:divBdr>
      <w:divsChild>
        <w:div w:id="154958068">
          <w:marLeft w:val="1354"/>
          <w:marRight w:val="0"/>
          <w:marTop w:val="120"/>
          <w:marBottom w:val="0"/>
          <w:divBdr>
            <w:top w:val="none" w:sz="0" w:space="0" w:color="auto"/>
            <w:left w:val="none" w:sz="0" w:space="0" w:color="auto"/>
            <w:bottom w:val="none" w:sz="0" w:space="0" w:color="auto"/>
            <w:right w:val="none" w:sz="0" w:space="0" w:color="auto"/>
          </w:divBdr>
        </w:div>
        <w:div w:id="615992091">
          <w:marLeft w:val="1354"/>
          <w:marRight w:val="0"/>
          <w:marTop w:val="120"/>
          <w:marBottom w:val="0"/>
          <w:divBdr>
            <w:top w:val="none" w:sz="0" w:space="0" w:color="auto"/>
            <w:left w:val="none" w:sz="0" w:space="0" w:color="auto"/>
            <w:bottom w:val="none" w:sz="0" w:space="0" w:color="auto"/>
            <w:right w:val="none" w:sz="0" w:space="0" w:color="auto"/>
          </w:divBdr>
        </w:div>
        <w:div w:id="1085225268">
          <w:marLeft w:val="720"/>
          <w:marRight w:val="0"/>
          <w:marTop w:val="120"/>
          <w:marBottom w:val="0"/>
          <w:divBdr>
            <w:top w:val="none" w:sz="0" w:space="0" w:color="auto"/>
            <w:left w:val="none" w:sz="0" w:space="0" w:color="auto"/>
            <w:bottom w:val="none" w:sz="0" w:space="0" w:color="auto"/>
            <w:right w:val="none" w:sz="0" w:space="0" w:color="auto"/>
          </w:divBdr>
        </w:div>
        <w:div w:id="1564213597">
          <w:marLeft w:val="1354"/>
          <w:marRight w:val="0"/>
          <w:marTop w:val="120"/>
          <w:marBottom w:val="0"/>
          <w:divBdr>
            <w:top w:val="none" w:sz="0" w:space="0" w:color="auto"/>
            <w:left w:val="none" w:sz="0" w:space="0" w:color="auto"/>
            <w:bottom w:val="none" w:sz="0" w:space="0" w:color="auto"/>
            <w:right w:val="none" w:sz="0" w:space="0" w:color="auto"/>
          </w:divBdr>
        </w:div>
        <w:div w:id="1639725870">
          <w:marLeft w:val="720"/>
          <w:marRight w:val="0"/>
          <w:marTop w:val="120"/>
          <w:marBottom w:val="0"/>
          <w:divBdr>
            <w:top w:val="none" w:sz="0" w:space="0" w:color="auto"/>
            <w:left w:val="none" w:sz="0" w:space="0" w:color="auto"/>
            <w:bottom w:val="none" w:sz="0" w:space="0" w:color="auto"/>
            <w:right w:val="none" w:sz="0" w:space="0" w:color="auto"/>
          </w:divBdr>
        </w:div>
      </w:divsChild>
    </w:div>
    <w:div w:id="1301881124">
      <w:bodyDiv w:val="1"/>
      <w:marLeft w:val="0"/>
      <w:marRight w:val="0"/>
      <w:marTop w:val="0"/>
      <w:marBottom w:val="0"/>
      <w:divBdr>
        <w:top w:val="none" w:sz="0" w:space="0" w:color="auto"/>
        <w:left w:val="none" w:sz="0" w:space="0" w:color="auto"/>
        <w:bottom w:val="none" w:sz="0" w:space="0" w:color="auto"/>
        <w:right w:val="none" w:sz="0" w:space="0" w:color="auto"/>
      </w:divBdr>
      <w:divsChild>
        <w:div w:id="545606918">
          <w:marLeft w:val="547"/>
          <w:marRight w:val="0"/>
          <w:marTop w:val="86"/>
          <w:marBottom w:val="0"/>
          <w:divBdr>
            <w:top w:val="none" w:sz="0" w:space="0" w:color="auto"/>
            <w:left w:val="none" w:sz="0" w:space="0" w:color="auto"/>
            <w:bottom w:val="none" w:sz="0" w:space="0" w:color="auto"/>
            <w:right w:val="none" w:sz="0" w:space="0" w:color="auto"/>
          </w:divBdr>
        </w:div>
        <w:div w:id="646207636">
          <w:marLeft w:val="547"/>
          <w:marRight w:val="0"/>
          <w:marTop w:val="86"/>
          <w:marBottom w:val="0"/>
          <w:divBdr>
            <w:top w:val="none" w:sz="0" w:space="0" w:color="auto"/>
            <w:left w:val="none" w:sz="0" w:space="0" w:color="auto"/>
            <w:bottom w:val="none" w:sz="0" w:space="0" w:color="auto"/>
            <w:right w:val="none" w:sz="0" w:space="0" w:color="auto"/>
          </w:divBdr>
        </w:div>
        <w:div w:id="1704869064">
          <w:marLeft w:val="1166"/>
          <w:marRight w:val="0"/>
          <w:marTop w:val="77"/>
          <w:marBottom w:val="0"/>
          <w:divBdr>
            <w:top w:val="none" w:sz="0" w:space="0" w:color="auto"/>
            <w:left w:val="none" w:sz="0" w:space="0" w:color="auto"/>
            <w:bottom w:val="none" w:sz="0" w:space="0" w:color="auto"/>
            <w:right w:val="none" w:sz="0" w:space="0" w:color="auto"/>
          </w:divBdr>
        </w:div>
        <w:div w:id="1946568977">
          <w:marLeft w:val="547"/>
          <w:marRight w:val="0"/>
          <w:marTop w:val="86"/>
          <w:marBottom w:val="0"/>
          <w:divBdr>
            <w:top w:val="none" w:sz="0" w:space="0" w:color="auto"/>
            <w:left w:val="none" w:sz="0" w:space="0" w:color="auto"/>
            <w:bottom w:val="none" w:sz="0" w:space="0" w:color="auto"/>
            <w:right w:val="none" w:sz="0" w:space="0" w:color="auto"/>
          </w:divBdr>
        </w:div>
      </w:divsChild>
    </w:div>
    <w:div w:id="1314404530">
      <w:bodyDiv w:val="1"/>
      <w:marLeft w:val="0"/>
      <w:marRight w:val="0"/>
      <w:marTop w:val="0"/>
      <w:marBottom w:val="0"/>
      <w:divBdr>
        <w:top w:val="none" w:sz="0" w:space="0" w:color="auto"/>
        <w:left w:val="none" w:sz="0" w:space="0" w:color="auto"/>
        <w:bottom w:val="none" w:sz="0" w:space="0" w:color="auto"/>
        <w:right w:val="none" w:sz="0" w:space="0" w:color="auto"/>
      </w:divBdr>
      <w:divsChild>
        <w:div w:id="413205990">
          <w:marLeft w:val="0"/>
          <w:marRight w:val="0"/>
          <w:marTop w:val="0"/>
          <w:marBottom w:val="0"/>
          <w:divBdr>
            <w:top w:val="none" w:sz="0" w:space="0" w:color="auto"/>
            <w:left w:val="none" w:sz="0" w:space="0" w:color="auto"/>
            <w:bottom w:val="none" w:sz="0" w:space="0" w:color="auto"/>
            <w:right w:val="none" w:sz="0" w:space="0" w:color="auto"/>
          </w:divBdr>
        </w:div>
        <w:div w:id="758209357">
          <w:marLeft w:val="0"/>
          <w:marRight w:val="0"/>
          <w:marTop w:val="0"/>
          <w:marBottom w:val="0"/>
          <w:divBdr>
            <w:top w:val="none" w:sz="0" w:space="0" w:color="auto"/>
            <w:left w:val="none" w:sz="0" w:space="0" w:color="auto"/>
            <w:bottom w:val="none" w:sz="0" w:space="0" w:color="auto"/>
            <w:right w:val="none" w:sz="0" w:space="0" w:color="auto"/>
          </w:divBdr>
        </w:div>
        <w:div w:id="851914012">
          <w:marLeft w:val="0"/>
          <w:marRight w:val="0"/>
          <w:marTop w:val="0"/>
          <w:marBottom w:val="0"/>
          <w:divBdr>
            <w:top w:val="none" w:sz="0" w:space="0" w:color="auto"/>
            <w:left w:val="none" w:sz="0" w:space="0" w:color="auto"/>
            <w:bottom w:val="none" w:sz="0" w:space="0" w:color="auto"/>
            <w:right w:val="none" w:sz="0" w:space="0" w:color="auto"/>
          </w:divBdr>
        </w:div>
        <w:div w:id="973877523">
          <w:marLeft w:val="0"/>
          <w:marRight w:val="0"/>
          <w:marTop w:val="0"/>
          <w:marBottom w:val="0"/>
          <w:divBdr>
            <w:top w:val="none" w:sz="0" w:space="0" w:color="auto"/>
            <w:left w:val="none" w:sz="0" w:space="0" w:color="auto"/>
            <w:bottom w:val="none" w:sz="0" w:space="0" w:color="auto"/>
            <w:right w:val="none" w:sz="0" w:space="0" w:color="auto"/>
          </w:divBdr>
        </w:div>
        <w:div w:id="1269267959">
          <w:marLeft w:val="0"/>
          <w:marRight w:val="0"/>
          <w:marTop w:val="0"/>
          <w:marBottom w:val="0"/>
          <w:divBdr>
            <w:top w:val="none" w:sz="0" w:space="0" w:color="auto"/>
            <w:left w:val="none" w:sz="0" w:space="0" w:color="auto"/>
            <w:bottom w:val="none" w:sz="0" w:space="0" w:color="auto"/>
            <w:right w:val="none" w:sz="0" w:space="0" w:color="auto"/>
          </w:divBdr>
        </w:div>
      </w:divsChild>
    </w:div>
    <w:div w:id="1322660686">
      <w:bodyDiv w:val="1"/>
      <w:marLeft w:val="0"/>
      <w:marRight w:val="0"/>
      <w:marTop w:val="0"/>
      <w:marBottom w:val="0"/>
      <w:divBdr>
        <w:top w:val="none" w:sz="0" w:space="0" w:color="auto"/>
        <w:left w:val="none" w:sz="0" w:space="0" w:color="auto"/>
        <w:bottom w:val="none" w:sz="0" w:space="0" w:color="auto"/>
        <w:right w:val="none" w:sz="0" w:space="0" w:color="auto"/>
      </w:divBdr>
      <w:divsChild>
        <w:div w:id="590510742">
          <w:marLeft w:val="0"/>
          <w:marRight w:val="0"/>
          <w:marTop w:val="0"/>
          <w:marBottom w:val="0"/>
          <w:divBdr>
            <w:top w:val="none" w:sz="0" w:space="0" w:color="auto"/>
            <w:left w:val="none" w:sz="0" w:space="0" w:color="auto"/>
            <w:bottom w:val="none" w:sz="0" w:space="0" w:color="auto"/>
            <w:right w:val="none" w:sz="0" w:space="0" w:color="auto"/>
          </w:divBdr>
        </w:div>
        <w:div w:id="740062117">
          <w:marLeft w:val="0"/>
          <w:marRight w:val="0"/>
          <w:marTop w:val="0"/>
          <w:marBottom w:val="0"/>
          <w:divBdr>
            <w:top w:val="none" w:sz="0" w:space="0" w:color="auto"/>
            <w:left w:val="none" w:sz="0" w:space="0" w:color="auto"/>
            <w:bottom w:val="none" w:sz="0" w:space="0" w:color="auto"/>
            <w:right w:val="none" w:sz="0" w:space="0" w:color="auto"/>
          </w:divBdr>
        </w:div>
        <w:div w:id="918634932">
          <w:marLeft w:val="0"/>
          <w:marRight w:val="0"/>
          <w:marTop w:val="0"/>
          <w:marBottom w:val="0"/>
          <w:divBdr>
            <w:top w:val="none" w:sz="0" w:space="0" w:color="auto"/>
            <w:left w:val="none" w:sz="0" w:space="0" w:color="auto"/>
            <w:bottom w:val="none" w:sz="0" w:space="0" w:color="auto"/>
            <w:right w:val="none" w:sz="0" w:space="0" w:color="auto"/>
          </w:divBdr>
        </w:div>
        <w:div w:id="1172914246">
          <w:marLeft w:val="0"/>
          <w:marRight w:val="0"/>
          <w:marTop w:val="0"/>
          <w:marBottom w:val="0"/>
          <w:divBdr>
            <w:top w:val="none" w:sz="0" w:space="0" w:color="auto"/>
            <w:left w:val="none" w:sz="0" w:space="0" w:color="auto"/>
            <w:bottom w:val="none" w:sz="0" w:space="0" w:color="auto"/>
            <w:right w:val="none" w:sz="0" w:space="0" w:color="auto"/>
          </w:divBdr>
        </w:div>
        <w:div w:id="1187250582">
          <w:marLeft w:val="0"/>
          <w:marRight w:val="0"/>
          <w:marTop w:val="0"/>
          <w:marBottom w:val="0"/>
          <w:divBdr>
            <w:top w:val="none" w:sz="0" w:space="0" w:color="auto"/>
            <w:left w:val="none" w:sz="0" w:space="0" w:color="auto"/>
            <w:bottom w:val="none" w:sz="0" w:space="0" w:color="auto"/>
            <w:right w:val="none" w:sz="0" w:space="0" w:color="auto"/>
          </w:divBdr>
        </w:div>
        <w:div w:id="1772160469">
          <w:marLeft w:val="0"/>
          <w:marRight w:val="0"/>
          <w:marTop w:val="0"/>
          <w:marBottom w:val="0"/>
          <w:divBdr>
            <w:top w:val="none" w:sz="0" w:space="0" w:color="auto"/>
            <w:left w:val="none" w:sz="0" w:space="0" w:color="auto"/>
            <w:bottom w:val="none" w:sz="0" w:space="0" w:color="auto"/>
            <w:right w:val="none" w:sz="0" w:space="0" w:color="auto"/>
          </w:divBdr>
        </w:div>
        <w:div w:id="1879658210">
          <w:marLeft w:val="0"/>
          <w:marRight w:val="0"/>
          <w:marTop w:val="0"/>
          <w:marBottom w:val="0"/>
          <w:divBdr>
            <w:top w:val="none" w:sz="0" w:space="0" w:color="auto"/>
            <w:left w:val="none" w:sz="0" w:space="0" w:color="auto"/>
            <w:bottom w:val="none" w:sz="0" w:space="0" w:color="auto"/>
            <w:right w:val="none" w:sz="0" w:space="0" w:color="auto"/>
          </w:divBdr>
        </w:div>
      </w:divsChild>
    </w:div>
    <w:div w:id="1329477677">
      <w:bodyDiv w:val="1"/>
      <w:marLeft w:val="0"/>
      <w:marRight w:val="0"/>
      <w:marTop w:val="0"/>
      <w:marBottom w:val="0"/>
      <w:divBdr>
        <w:top w:val="none" w:sz="0" w:space="0" w:color="auto"/>
        <w:left w:val="none" w:sz="0" w:space="0" w:color="auto"/>
        <w:bottom w:val="none" w:sz="0" w:space="0" w:color="auto"/>
        <w:right w:val="none" w:sz="0" w:space="0" w:color="auto"/>
      </w:divBdr>
    </w:div>
    <w:div w:id="1342775812">
      <w:bodyDiv w:val="1"/>
      <w:marLeft w:val="0"/>
      <w:marRight w:val="0"/>
      <w:marTop w:val="0"/>
      <w:marBottom w:val="0"/>
      <w:divBdr>
        <w:top w:val="none" w:sz="0" w:space="0" w:color="auto"/>
        <w:left w:val="none" w:sz="0" w:space="0" w:color="auto"/>
        <w:bottom w:val="none" w:sz="0" w:space="0" w:color="auto"/>
        <w:right w:val="none" w:sz="0" w:space="0" w:color="auto"/>
      </w:divBdr>
    </w:div>
    <w:div w:id="1365520086">
      <w:bodyDiv w:val="1"/>
      <w:marLeft w:val="0"/>
      <w:marRight w:val="0"/>
      <w:marTop w:val="0"/>
      <w:marBottom w:val="0"/>
      <w:divBdr>
        <w:top w:val="none" w:sz="0" w:space="0" w:color="auto"/>
        <w:left w:val="none" w:sz="0" w:space="0" w:color="auto"/>
        <w:bottom w:val="none" w:sz="0" w:space="0" w:color="auto"/>
        <w:right w:val="none" w:sz="0" w:space="0" w:color="auto"/>
      </w:divBdr>
      <w:divsChild>
        <w:div w:id="786899572">
          <w:marLeft w:val="0"/>
          <w:marRight w:val="0"/>
          <w:marTop w:val="0"/>
          <w:marBottom w:val="0"/>
          <w:divBdr>
            <w:top w:val="none" w:sz="0" w:space="0" w:color="auto"/>
            <w:left w:val="none" w:sz="0" w:space="0" w:color="auto"/>
            <w:bottom w:val="none" w:sz="0" w:space="0" w:color="auto"/>
            <w:right w:val="none" w:sz="0" w:space="0" w:color="auto"/>
          </w:divBdr>
        </w:div>
        <w:div w:id="1182890625">
          <w:marLeft w:val="0"/>
          <w:marRight w:val="0"/>
          <w:marTop w:val="0"/>
          <w:marBottom w:val="0"/>
          <w:divBdr>
            <w:top w:val="none" w:sz="0" w:space="0" w:color="auto"/>
            <w:left w:val="none" w:sz="0" w:space="0" w:color="auto"/>
            <w:bottom w:val="none" w:sz="0" w:space="0" w:color="auto"/>
            <w:right w:val="none" w:sz="0" w:space="0" w:color="auto"/>
          </w:divBdr>
        </w:div>
      </w:divsChild>
    </w:div>
    <w:div w:id="1375274279">
      <w:bodyDiv w:val="1"/>
      <w:marLeft w:val="0"/>
      <w:marRight w:val="0"/>
      <w:marTop w:val="0"/>
      <w:marBottom w:val="0"/>
      <w:divBdr>
        <w:top w:val="none" w:sz="0" w:space="0" w:color="auto"/>
        <w:left w:val="none" w:sz="0" w:space="0" w:color="auto"/>
        <w:bottom w:val="none" w:sz="0" w:space="0" w:color="auto"/>
        <w:right w:val="none" w:sz="0" w:space="0" w:color="auto"/>
      </w:divBdr>
    </w:div>
    <w:div w:id="1375500104">
      <w:bodyDiv w:val="1"/>
      <w:marLeft w:val="0"/>
      <w:marRight w:val="0"/>
      <w:marTop w:val="0"/>
      <w:marBottom w:val="0"/>
      <w:divBdr>
        <w:top w:val="none" w:sz="0" w:space="0" w:color="auto"/>
        <w:left w:val="none" w:sz="0" w:space="0" w:color="auto"/>
        <w:bottom w:val="none" w:sz="0" w:space="0" w:color="auto"/>
        <w:right w:val="none" w:sz="0" w:space="0" w:color="auto"/>
      </w:divBdr>
      <w:divsChild>
        <w:div w:id="513417761">
          <w:marLeft w:val="0"/>
          <w:marRight w:val="0"/>
          <w:marTop w:val="0"/>
          <w:marBottom w:val="0"/>
          <w:divBdr>
            <w:top w:val="none" w:sz="0" w:space="0" w:color="auto"/>
            <w:left w:val="none" w:sz="0" w:space="0" w:color="auto"/>
            <w:bottom w:val="none" w:sz="0" w:space="0" w:color="auto"/>
            <w:right w:val="none" w:sz="0" w:space="0" w:color="auto"/>
          </w:divBdr>
          <w:divsChild>
            <w:div w:id="669261443">
              <w:marLeft w:val="0"/>
              <w:marRight w:val="0"/>
              <w:marTop w:val="0"/>
              <w:marBottom w:val="0"/>
              <w:divBdr>
                <w:top w:val="none" w:sz="0" w:space="0" w:color="auto"/>
                <w:left w:val="none" w:sz="0" w:space="0" w:color="auto"/>
                <w:bottom w:val="none" w:sz="0" w:space="0" w:color="auto"/>
                <w:right w:val="none" w:sz="0" w:space="0" w:color="auto"/>
              </w:divBdr>
              <w:divsChild>
                <w:div w:id="528370424">
                  <w:marLeft w:val="0"/>
                  <w:marRight w:val="0"/>
                  <w:marTop w:val="0"/>
                  <w:marBottom w:val="0"/>
                  <w:divBdr>
                    <w:top w:val="none" w:sz="0" w:space="0" w:color="auto"/>
                    <w:left w:val="none" w:sz="0" w:space="0" w:color="auto"/>
                    <w:bottom w:val="none" w:sz="0" w:space="0" w:color="auto"/>
                    <w:right w:val="none" w:sz="0" w:space="0" w:color="auto"/>
                  </w:divBdr>
                  <w:divsChild>
                    <w:div w:id="2124766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3888159">
      <w:bodyDiv w:val="1"/>
      <w:marLeft w:val="0"/>
      <w:marRight w:val="0"/>
      <w:marTop w:val="0"/>
      <w:marBottom w:val="0"/>
      <w:divBdr>
        <w:top w:val="none" w:sz="0" w:space="0" w:color="auto"/>
        <w:left w:val="none" w:sz="0" w:space="0" w:color="auto"/>
        <w:bottom w:val="none" w:sz="0" w:space="0" w:color="auto"/>
        <w:right w:val="none" w:sz="0" w:space="0" w:color="auto"/>
      </w:divBdr>
    </w:div>
    <w:div w:id="1406416378">
      <w:bodyDiv w:val="1"/>
      <w:marLeft w:val="0"/>
      <w:marRight w:val="0"/>
      <w:marTop w:val="0"/>
      <w:marBottom w:val="0"/>
      <w:divBdr>
        <w:top w:val="none" w:sz="0" w:space="0" w:color="auto"/>
        <w:left w:val="none" w:sz="0" w:space="0" w:color="auto"/>
        <w:bottom w:val="none" w:sz="0" w:space="0" w:color="auto"/>
        <w:right w:val="none" w:sz="0" w:space="0" w:color="auto"/>
      </w:divBdr>
      <w:divsChild>
        <w:div w:id="809328386">
          <w:marLeft w:val="547"/>
          <w:marRight w:val="0"/>
          <w:marTop w:val="120"/>
          <w:marBottom w:val="120"/>
          <w:divBdr>
            <w:top w:val="none" w:sz="0" w:space="0" w:color="auto"/>
            <w:left w:val="none" w:sz="0" w:space="0" w:color="auto"/>
            <w:bottom w:val="none" w:sz="0" w:space="0" w:color="auto"/>
            <w:right w:val="none" w:sz="0" w:space="0" w:color="auto"/>
          </w:divBdr>
        </w:div>
        <w:div w:id="851382200">
          <w:marLeft w:val="547"/>
          <w:marRight w:val="0"/>
          <w:marTop w:val="120"/>
          <w:marBottom w:val="120"/>
          <w:divBdr>
            <w:top w:val="none" w:sz="0" w:space="0" w:color="auto"/>
            <w:left w:val="none" w:sz="0" w:space="0" w:color="auto"/>
            <w:bottom w:val="none" w:sz="0" w:space="0" w:color="auto"/>
            <w:right w:val="none" w:sz="0" w:space="0" w:color="auto"/>
          </w:divBdr>
        </w:div>
        <w:div w:id="889347814">
          <w:marLeft w:val="547"/>
          <w:marRight w:val="0"/>
          <w:marTop w:val="120"/>
          <w:marBottom w:val="120"/>
          <w:divBdr>
            <w:top w:val="none" w:sz="0" w:space="0" w:color="auto"/>
            <w:left w:val="none" w:sz="0" w:space="0" w:color="auto"/>
            <w:bottom w:val="none" w:sz="0" w:space="0" w:color="auto"/>
            <w:right w:val="none" w:sz="0" w:space="0" w:color="auto"/>
          </w:divBdr>
        </w:div>
        <w:div w:id="990408571">
          <w:marLeft w:val="547"/>
          <w:marRight w:val="0"/>
          <w:marTop w:val="120"/>
          <w:marBottom w:val="120"/>
          <w:divBdr>
            <w:top w:val="none" w:sz="0" w:space="0" w:color="auto"/>
            <w:left w:val="none" w:sz="0" w:space="0" w:color="auto"/>
            <w:bottom w:val="none" w:sz="0" w:space="0" w:color="auto"/>
            <w:right w:val="none" w:sz="0" w:space="0" w:color="auto"/>
          </w:divBdr>
        </w:div>
        <w:div w:id="1549221960">
          <w:marLeft w:val="547"/>
          <w:marRight w:val="0"/>
          <w:marTop w:val="120"/>
          <w:marBottom w:val="120"/>
          <w:divBdr>
            <w:top w:val="none" w:sz="0" w:space="0" w:color="auto"/>
            <w:left w:val="none" w:sz="0" w:space="0" w:color="auto"/>
            <w:bottom w:val="none" w:sz="0" w:space="0" w:color="auto"/>
            <w:right w:val="none" w:sz="0" w:space="0" w:color="auto"/>
          </w:divBdr>
        </w:div>
      </w:divsChild>
    </w:div>
    <w:div w:id="1415198100">
      <w:bodyDiv w:val="1"/>
      <w:marLeft w:val="0"/>
      <w:marRight w:val="0"/>
      <w:marTop w:val="0"/>
      <w:marBottom w:val="0"/>
      <w:divBdr>
        <w:top w:val="none" w:sz="0" w:space="0" w:color="auto"/>
        <w:left w:val="none" w:sz="0" w:space="0" w:color="auto"/>
        <w:bottom w:val="none" w:sz="0" w:space="0" w:color="auto"/>
        <w:right w:val="none" w:sz="0" w:space="0" w:color="auto"/>
      </w:divBdr>
    </w:div>
    <w:div w:id="1426076391">
      <w:bodyDiv w:val="1"/>
      <w:marLeft w:val="0"/>
      <w:marRight w:val="0"/>
      <w:marTop w:val="0"/>
      <w:marBottom w:val="0"/>
      <w:divBdr>
        <w:top w:val="none" w:sz="0" w:space="0" w:color="auto"/>
        <w:left w:val="none" w:sz="0" w:space="0" w:color="auto"/>
        <w:bottom w:val="none" w:sz="0" w:space="0" w:color="auto"/>
        <w:right w:val="none" w:sz="0" w:space="0" w:color="auto"/>
      </w:divBdr>
      <w:divsChild>
        <w:div w:id="66150829">
          <w:marLeft w:val="0"/>
          <w:marRight w:val="0"/>
          <w:marTop w:val="0"/>
          <w:marBottom w:val="0"/>
          <w:divBdr>
            <w:top w:val="none" w:sz="0" w:space="0" w:color="auto"/>
            <w:left w:val="none" w:sz="0" w:space="0" w:color="auto"/>
            <w:bottom w:val="none" w:sz="0" w:space="0" w:color="auto"/>
            <w:right w:val="none" w:sz="0" w:space="0" w:color="auto"/>
          </w:divBdr>
        </w:div>
        <w:div w:id="192883043">
          <w:marLeft w:val="0"/>
          <w:marRight w:val="0"/>
          <w:marTop w:val="0"/>
          <w:marBottom w:val="0"/>
          <w:divBdr>
            <w:top w:val="none" w:sz="0" w:space="0" w:color="auto"/>
            <w:left w:val="none" w:sz="0" w:space="0" w:color="auto"/>
            <w:bottom w:val="none" w:sz="0" w:space="0" w:color="auto"/>
            <w:right w:val="none" w:sz="0" w:space="0" w:color="auto"/>
          </w:divBdr>
        </w:div>
        <w:div w:id="492720352">
          <w:marLeft w:val="0"/>
          <w:marRight w:val="0"/>
          <w:marTop w:val="0"/>
          <w:marBottom w:val="0"/>
          <w:divBdr>
            <w:top w:val="none" w:sz="0" w:space="0" w:color="auto"/>
            <w:left w:val="none" w:sz="0" w:space="0" w:color="auto"/>
            <w:bottom w:val="none" w:sz="0" w:space="0" w:color="auto"/>
            <w:right w:val="none" w:sz="0" w:space="0" w:color="auto"/>
          </w:divBdr>
        </w:div>
        <w:div w:id="1121532451">
          <w:marLeft w:val="0"/>
          <w:marRight w:val="0"/>
          <w:marTop w:val="0"/>
          <w:marBottom w:val="0"/>
          <w:divBdr>
            <w:top w:val="none" w:sz="0" w:space="0" w:color="auto"/>
            <w:left w:val="none" w:sz="0" w:space="0" w:color="auto"/>
            <w:bottom w:val="none" w:sz="0" w:space="0" w:color="auto"/>
            <w:right w:val="none" w:sz="0" w:space="0" w:color="auto"/>
          </w:divBdr>
        </w:div>
        <w:div w:id="1271158264">
          <w:marLeft w:val="0"/>
          <w:marRight w:val="0"/>
          <w:marTop w:val="0"/>
          <w:marBottom w:val="0"/>
          <w:divBdr>
            <w:top w:val="none" w:sz="0" w:space="0" w:color="auto"/>
            <w:left w:val="none" w:sz="0" w:space="0" w:color="auto"/>
            <w:bottom w:val="none" w:sz="0" w:space="0" w:color="auto"/>
            <w:right w:val="none" w:sz="0" w:space="0" w:color="auto"/>
          </w:divBdr>
        </w:div>
        <w:div w:id="1273853596">
          <w:marLeft w:val="0"/>
          <w:marRight w:val="0"/>
          <w:marTop w:val="0"/>
          <w:marBottom w:val="0"/>
          <w:divBdr>
            <w:top w:val="none" w:sz="0" w:space="0" w:color="auto"/>
            <w:left w:val="none" w:sz="0" w:space="0" w:color="auto"/>
            <w:bottom w:val="none" w:sz="0" w:space="0" w:color="auto"/>
            <w:right w:val="none" w:sz="0" w:space="0" w:color="auto"/>
          </w:divBdr>
        </w:div>
        <w:div w:id="1513569343">
          <w:marLeft w:val="0"/>
          <w:marRight w:val="0"/>
          <w:marTop w:val="0"/>
          <w:marBottom w:val="0"/>
          <w:divBdr>
            <w:top w:val="none" w:sz="0" w:space="0" w:color="auto"/>
            <w:left w:val="none" w:sz="0" w:space="0" w:color="auto"/>
            <w:bottom w:val="none" w:sz="0" w:space="0" w:color="auto"/>
            <w:right w:val="none" w:sz="0" w:space="0" w:color="auto"/>
          </w:divBdr>
        </w:div>
        <w:div w:id="1885672339">
          <w:marLeft w:val="0"/>
          <w:marRight w:val="0"/>
          <w:marTop w:val="0"/>
          <w:marBottom w:val="0"/>
          <w:divBdr>
            <w:top w:val="none" w:sz="0" w:space="0" w:color="auto"/>
            <w:left w:val="none" w:sz="0" w:space="0" w:color="auto"/>
            <w:bottom w:val="none" w:sz="0" w:space="0" w:color="auto"/>
            <w:right w:val="none" w:sz="0" w:space="0" w:color="auto"/>
          </w:divBdr>
        </w:div>
      </w:divsChild>
    </w:div>
    <w:div w:id="1435248200">
      <w:bodyDiv w:val="1"/>
      <w:marLeft w:val="0"/>
      <w:marRight w:val="0"/>
      <w:marTop w:val="0"/>
      <w:marBottom w:val="0"/>
      <w:divBdr>
        <w:top w:val="none" w:sz="0" w:space="0" w:color="auto"/>
        <w:left w:val="none" w:sz="0" w:space="0" w:color="auto"/>
        <w:bottom w:val="none" w:sz="0" w:space="0" w:color="auto"/>
        <w:right w:val="none" w:sz="0" w:space="0" w:color="auto"/>
      </w:divBdr>
      <w:divsChild>
        <w:div w:id="501704612">
          <w:marLeft w:val="0"/>
          <w:marRight w:val="0"/>
          <w:marTop w:val="0"/>
          <w:marBottom w:val="0"/>
          <w:divBdr>
            <w:top w:val="none" w:sz="0" w:space="0" w:color="auto"/>
            <w:left w:val="none" w:sz="0" w:space="0" w:color="auto"/>
            <w:bottom w:val="none" w:sz="0" w:space="0" w:color="auto"/>
            <w:right w:val="none" w:sz="0" w:space="0" w:color="auto"/>
          </w:divBdr>
        </w:div>
        <w:div w:id="591402319">
          <w:marLeft w:val="0"/>
          <w:marRight w:val="0"/>
          <w:marTop w:val="0"/>
          <w:marBottom w:val="0"/>
          <w:divBdr>
            <w:top w:val="none" w:sz="0" w:space="0" w:color="auto"/>
            <w:left w:val="none" w:sz="0" w:space="0" w:color="auto"/>
            <w:bottom w:val="none" w:sz="0" w:space="0" w:color="auto"/>
            <w:right w:val="none" w:sz="0" w:space="0" w:color="auto"/>
          </w:divBdr>
        </w:div>
        <w:div w:id="617950473">
          <w:marLeft w:val="0"/>
          <w:marRight w:val="0"/>
          <w:marTop w:val="0"/>
          <w:marBottom w:val="0"/>
          <w:divBdr>
            <w:top w:val="none" w:sz="0" w:space="0" w:color="auto"/>
            <w:left w:val="none" w:sz="0" w:space="0" w:color="auto"/>
            <w:bottom w:val="none" w:sz="0" w:space="0" w:color="auto"/>
            <w:right w:val="none" w:sz="0" w:space="0" w:color="auto"/>
          </w:divBdr>
        </w:div>
        <w:div w:id="1053428703">
          <w:marLeft w:val="0"/>
          <w:marRight w:val="0"/>
          <w:marTop w:val="0"/>
          <w:marBottom w:val="0"/>
          <w:divBdr>
            <w:top w:val="none" w:sz="0" w:space="0" w:color="auto"/>
            <w:left w:val="none" w:sz="0" w:space="0" w:color="auto"/>
            <w:bottom w:val="none" w:sz="0" w:space="0" w:color="auto"/>
            <w:right w:val="none" w:sz="0" w:space="0" w:color="auto"/>
          </w:divBdr>
        </w:div>
        <w:div w:id="1415473829">
          <w:marLeft w:val="0"/>
          <w:marRight w:val="0"/>
          <w:marTop w:val="0"/>
          <w:marBottom w:val="0"/>
          <w:divBdr>
            <w:top w:val="none" w:sz="0" w:space="0" w:color="auto"/>
            <w:left w:val="none" w:sz="0" w:space="0" w:color="auto"/>
            <w:bottom w:val="none" w:sz="0" w:space="0" w:color="auto"/>
            <w:right w:val="none" w:sz="0" w:space="0" w:color="auto"/>
          </w:divBdr>
        </w:div>
        <w:div w:id="1611477008">
          <w:marLeft w:val="0"/>
          <w:marRight w:val="0"/>
          <w:marTop w:val="0"/>
          <w:marBottom w:val="0"/>
          <w:divBdr>
            <w:top w:val="none" w:sz="0" w:space="0" w:color="auto"/>
            <w:left w:val="none" w:sz="0" w:space="0" w:color="auto"/>
            <w:bottom w:val="none" w:sz="0" w:space="0" w:color="auto"/>
            <w:right w:val="none" w:sz="0" w:space="0" w:color="auto"/>
          </w:divBdr>
        </w:div>
        <w:div w:id="1737242185">
          <w:marLeft w:val="0"/>
          <w:marRight w:val="0"/>
          <w:marTop w:val="0"/>
          <w:marBottom w:val="0"/>
          <w:divBdr>
            <w:top w:val="none" w:sz="0" w:space="0" w:color="auto"/>
            <w:left w:val="none" w:sz="0" w:space="0" w:color="auto"/>
            <w:bottom w:val="none" w:sz="0" w:space="0" w:color="auto"/>
            <w:right w:val="none" w:sz="0" w:space="0" w:color="auto"/>
          </w:divBdr>
        </w:div>
        <w:div w:id="1834100911">
          <w:marLeft w:val="0"/>
          <w:marRight w:val="0"/>
          <w:marTop w:val="0"/>
          <w:marBottom w:val="0"/>
          <w:divBdr>
            <w:top w:val="none" w:sz="0" w:space="0" w:color="auto"/>
            <w:left w:val="none" w:sz="0" w:space="0" w:color="auto"/>
            <w:bottom w:val="none" w:sz="0" w:space="0" w:color="auto"/>
            <w:right w:val="none" w:sz="0" w:space="0" w:color="auto"/>
          </w:divBdr>
        </w:div>
        <w:div w:id="1926836138">
          <w:marLeft w:val="0"/>
          <w:marRight w:val="0"/>
          <w:marTop w:val="0"/>
          <w:marBottom w:val="0"/>
          <w:divBdr>
            <w:top w:val="none" w:sz="0" w:space="0" w:color="auto"/>
            <w:left w:val="none" w:sz="0" w:space="0" w:color="auto"/>
            <w:bottom w:val="none" w:sz="0" w:space="0" w:color="auto"/>
            <w:right w:val="none" w:sz="0" w:space="0" w:color="auto"/>
          </w:divBdr>
        </w:div>
      </w:divsChild>
    </w:div>
    <w:div w:id="1435514330">
      <w:bodyDiv w:val="1"/>
      <w:marLeft w:val="0"/>
      <w:marRight w:val="0"/>
      <w:marTop w:val="0"/>
      <w:marBottom w:val="0"/>
      <w:divBdr>
        <w:top w:val="none" w:sz="0" w:space="0" w:color="auto"/>
        <w:left w:val="none" w:sz="0" w:space="0" w:color="auto"/>
        <w:bottom w:val="none" w:sz="0" w:space="0" w:color="auto"/>
        <w:right w:val="none" w:sz="0" w:space="0" w:color="auto"/>
      </w:divBdr>
    </w:div>
    <w:div w:id="1449011359">
      <w:bodyDiv w:val="1"/>
      <w:marLeft w:val="0"/>
      <w:marRight w:val="0"/>
      <w:marTop w:val="0"/>
      <w:marBottom w:val="0"/>
      <w:divBdr>
        <w:top w:val="none" w:sz="0" w:space="0" w:color="auto"/>
        <w:left w:val="none" w:sz="0" w:space="0" w:color="auto"/>
        <w:bottom w:val="none" w:sz="0" w:space="0" w:color="auto"/>
        <w:right w:val="none" w:sz="0" w:space="0" w:color="auto"/>
      </w:divBdr>
      <w:divsChild>
        <w:div w:id="202792141">
          <w:marLeft w:val="0"/>
          <w:marRight w:val="0"/>
          <w:marTop w:val="0"/>
          <w:marBottom w:val="0"/>
          <w:divBdr>
            <w:top w:val="none" w:sz="0" w:space="0" w:color="auto"/>
            <w:left w:val="none" w:sz="0" w:space="0" w:color="auto"/>
            <w:bottom w:val="none" w:sz="0" w:space="0" w:color="auto"/>
            <w:right w:val="none" w:sz="0" w:space="0" w:color="auto"/>
          </w:divBdr>
          <w:divsChild>
            <w:div w:id="650713710">
              <w:marLeft w:val="0"/>
              <w:marRight w:val="0"/>
              <w:marTop w:val="0"/>
              <w:marBottom w:val="0"/>
              <w:divBdr>
                <w:top w:val="none" w:sz="0" w:space="0" w:color="auto"/>
                <w:left w:val="none" w:sz="0" w:space="0" w:color="auto"/>
                <w:bottom w:val="none" w:sz="0" w:space="0" w:color="auto"/>
                <w:right w:val="none" w:sz="0" w:space="0" w:color="auto"/>
              </w:divBdr>
              <w:divsChild>
                <w:div w:id="1888182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883780">
          <w:marLeft w:val="0"/>
          <w:marRight w:val="0"/>
          <w:marTop w:val="0"/>
          <w:marBottom w:val="0"/>
          <w:divBdr>
            <w:top w:val="none" w:sz="0" w:space="0" w:color="auto"/>
            <w:left w:val="none" w:sz="0" w:space="0" w:color="auto"/>
            <w:bottom w:val="none" w:sz="0" w:space="0" w:color="auto"/>
            <w:right w:val="none" w:sz="0" w:space="0" w:color="auto"/>
          </w:divBdr>
        </w:div>
      </w:divsChild>
    </w:div>
    <w:div w:id="1452438203">
      <w:bodyDiv w:val="1"/>
      <w:marLeft w:val="0"/>
      <w:marRight w:val="0"/>
      <w:marTop w:val="0"/>
      <w:marBottom w:val="0"/>
      <w:divBdr>
        <w:top w:val="none" w:sz="0" w:space="0" w:color="auto"/>
        <w:left w:val="none" w:sz="0" w:space="0" w:color="auto"/>
        <w:bottom w:val="none" w:sz="0" w:space="0" w:color="auto"/>
        <w:right w:val="none" w:sz="0" w:space="0" w:color="auto"/>
      </w:divBdr>
    </w:div>
    <w:div w:id="1490293351">
      <w:bodyDiv w:val="1"/>
      <w:marLeft w:val="0"/>
      <w:marRight w:val="0"/>
      <w:marTop w:val="0"/>
      <w:marBottom w:val="0"/>
      <w:divBdr>
        <w:top w:val="none" w:sz="0" w:space="0" w:color="auto"/>
        <w:left w:val="none" w:sz="0" w:space="0" w:color="auto"/>
        <w:bottom w:val="none" w:sz="0" w:space="0" w:color="auto"/>
        <w:right w:val="none" w:sz="0" w:space="0" w:color="auto"/>
      </w:divBdr>
    </w:div>
    <w:div w:id="1517505051">
      <w:bodyDiv w:val="1"/>
      <w:marLeft w:val="0"/>
      <w:marRight w:val="0"/>
      <w:marTop w:val="0"/>
      <w:marBottom w:val="0"/>
      <w:divBdr>
        <w:top w:val="none" w:sz="0" w:space="0" w:color="auto"/>
        <w:left w:val="none" w:sz="0" w:space="0" w:color="auto"/>
        <w:bottom w:val="none" w:sz="0" w:space="0" w:color="auto"/>
        <w:right w:val="none" w:sz="0" w:space="0" w:color="auto"/>
      </w:divBdr>
      <w:divsChild>
        <w:div w:id="900600031">
          <w:marLeft w:val="0"/>
          <w:marRight w:val="0"/>
          <w:marTop w:val="0"/>
          <w:marBottom w:val="0"/>
          <w:divBdr>
            <w:top w:val="none" w:sz="0" w:space="0" w:color="auto"/>
            <w:left w:val="none" w:sz="0" w:space="0" w:color="auto"/>
            <w:bottom w:val="none" w:sz="0" w:space="0" w:color="auto"/>
            <w:right w:val="none" w:sz="0" w:space="0" w:color="auto"/>
          </w:divBdr>
        </w:div>
        <w:div w:id="1123576834">
          <w:marLeft w:val="0"/>
          <w:marRight w:val="0"/>
          <w:marTop w:val="0"/>
          <w:marBottom w:val="0"/>
          <w:divBdr>
            <w:top w:val="none" w:sz="0" w:space="0" w:color="auto"/>
            <w:left w:val="none" w:sz="0" w:space="0" w:color="auto"/>
            <w:bottom w:val="none" w:sz="0" w:space="0" w:color="auto"/>
            <w:right w:val="none" w:sz="0" w:space="0" w:color="auto"/>
          </w:divBdr>
        </w:div>
        <w:div w:id="1266577095">
          <w:marLeft w:val="0"/>
          <w:marRight w:val="0"/>
          <w:marTop w:val="0"/>
          <w:marBottom w:val="0"/>
          <w:divBdr>
            <w:top w:val="none" w:sz="0" w:space="0" w:color="auto"/>
            <w:left w:val="none" w:sz="0" w:space="0" w:color="auto"/>
            <w:bottom w:val="none" w:sz="0" w:space="0" w:color="auto"/>
            <w:right w:val="none" w:sz="0" w:space="0" w:color="auto"/>
          </w:divBdr>
        </w:div>
        <w:div w:id="2144884333">
          <w:marLeft w:val="0"/>
          <w:marRight w:val="0"/>
          <w:marTop w:val="0"/>
          <w:marBottom w:val="0"/>
          <w:divBdr>
            <w:top w:val="none" w:sz="0" w:space="0" w:color="auto"/>
            <w:left w:val="none" w:sz="0" w:space="0" w:color="auto"/>
            <w:bottom w:val="none" w:sz="0" w:space="0" w:color="auto"/>
            <w:right w:val="none" w:sz="0" w:space="0" w:color="auto"/>
          </w:divBdr>
        </w:div>
        <w:div w:id="2145077023">
          <w:marLeft w:val="0"/>
          <w:marRight w:val="0"/>
          <w:marTop w:val="0"/>
          <w:marBottom w:val="0"/>
          <w:divBdr>
            <w:top w:val="none" w:sz="0" w:space="0" w:color="auto"/>
            <w:left w:val="none" w:sz="0" w:space="0" w:color="auto"/>
            <w:bottom w:val="none" w:sz="0" w:space="0" w:color="auto"/>
            <w:right w:val="none" w:sz="0" w:space="0" w:color="auto"/>
          </w:divBdr>
        </w:div>
      </w:divsChild>
    </w:div>
    <w:div w:id="1523400994">
      <w:bodyDiv w:val="1"/>
      <w:marLeft w:val="0"/>
      <w:marRight w:val="0"/>
      <w:marTop w:val="0"/>
      <w:marBottom w:val="0"/>
      <w:divBdr>
        <w:top w:val="none" w:sz="0" w:space="0" w:color="auto"/>
        <w:left w:val="none" w:sz="0" w:space="0" w:color="auto"/>
        <w:bottom w:val="none" w:sz="0" w:space="0" w:color="auto"/>
        <w:right w:val="none" w:sz="0" w:space="0" w:color="auto"/>
      </w:divBdr>
    </w:div>
    <w:div w:id="1537933863">
      <w:bodyDiv w:val="1"/>
      <w:marLeft w:val="0"/>
      <w:marRight w:val="0"/>
      <w:marTop w:val="0"/>
      <w:marBottom w:val="0"/>
      <w:divBdr>
        <w:top w:val="none" w:sz="0" w:space="0" w:color="auto"/>
        <w:left w:val="none" w:sz="0" w:space="0" w:color="auto"/>
        <w:bottom w:val="none" w:sz="0" w:space="0" w:color="auto"/>
        <w:right w:val="none" w:sz="0" w:space="0" w:color="auto"/>
      </w:divBdr>
      <w:divsChild>
        <w:div w:id="49882774">
          <w:marLeft w:val="0"/>
          <w:marRight w:val="0"/>
          <w:marTop w:val="0"/>
          <w:marBottom w:val="0"/>
          <w:divBdr>
            <w:top w:val="none" w:sz="0" w:space="0" w:color="auto"/>
            <w:left w:val="none" w:sz="0" w:space="0" w:color="auto"/>
            <w:bottom w:val="none" w:sz="0" w:space="0" w:color="auto"/>
            <w:right w:val="none" w:sz="0" w:space="0" w:color="auto"/>
          </w:divBdr>
        </w:div>
        <w:div w:id="118765687">
          <w:marLeft w:val="0"/>
          <w:marRight w:val="0"/>
          <w:marTop w:val="0"/>
          <w:marBottom w:val="0"/>
          <w:divBdr>
            <w:top w:val="none" w:sz="0" w:space="0" w:color="auto"/>
            <w:left w:val="none" w:sz="0" w:space="0" w:color="auto"/>
            <w:bottom w:val="none" w:sz="0" w:space="0" w:color="auto"/>
            <w:right w:val="none" w:sz="0" w:space="0" w:color="auto"/>
          </w:divBdr>
        </w:div>
        <w:div w:id="349142349">
          <w:marLeft w:val="0"/>
          <w:marRight w:val="0"/>
          <w:marTop w:val="0"/>
          <w:marBottom w:val="0"/>
          <w:divBdr>
            <w:top w:val="none" w:sz="0" w:space="0" w:color="auto"/>
            <w:left w:val="none" w:sz="0" w:space="0" w:color="auto"/>
            <w:bottom w:val="none" w:sz="0" w:space="0" w:color="auto"/>
            <w:right w:val="none" w:sz="0" w:space="0" w:color="auto"/>
          </w:divBdr>
        </w:div>
        <w:div w:id="359161872">
          <w:marLeft w:val="0"/>
          <w:marRight w:val="0"/>
          <w:marTop w:val="0"/>
          <w:marBottom w:val="0"/>
          <w:divBdr>
            <w:top w:val="none" w:sz="0" w:space="0" w:color="auto"/>
            <w:left w:val="none" w:sz="0" w:space="0" w:color="auto"/>
            <w:bottom w:val="none" w:sz="0" w:space="0" w:color="auto"/>
            <w:right w:val="none" w:sz="0" w:space="0" w:color="auto"/>
          </w:divBdr>
        </w:div>
        <w:div w:id="360324127">
          <w:marLeft w:val="0"/>
          <w:marRight w:val="0"/>
          <w:marTop w:val="0"/>
          <w:marBottom w:val="0"/>
          <w:divBdr>
            <w:top w:val="none" w:sz="0" w:space="0" w:color="auto"/>
            <w:left w:val="none" w:sz="0" w:space="0" w:color="auto"/>
            <w:bottom w:val="none" w:sz="0" w:space="0" w:color="auto"/>
            <w:right w:val="none" w:sz="0" w:space="0" w:color="auto"/>
          </w:divBdr>
        </w:div>
        <w:div w:id="369183667">
          <w:marLeft w:val="0"/>
          <w:marRight w:val="0"/>
          <w:marTop w:val="0"/>
          <w:marBottom w:val="0"/>
          <w:divBdr>
            <w:top w:val="none" w:sz="0" w:space="0" w:color="auto"/>
            <w:left w:val="none" w:sz="0" w:space="0" w:color="auto"/>
            <w:bottom w:val="none" w:sz="0" w:space="0" w:color="auto"/>
            <w:right w:val="none" w:sz="0" w:space="0" w:color="auto"/>
          </w:divBdr>
        </w:div>
        <w:div w:id="369456282">
          <w:marLeft w:val="0"/>
          <w:marRight w:val="0"/>
          <w:marTop w:val="0"/>
          <w:marBottom w:val="0"/>
          <w:divBdr>
            <w:top w:val="none" w:sz="0" w:space="0" w:color="auto"/>
            <w:left w:val="none" w:sz="0" w:space="0" w:color="auto"/>
            <w:bottom w:val="none" w:sz="0" w:space="0" w:color="auto"/>
            <w:right w:val="none" w:sz="0" w:space="0" w:color="auto"/>
          </w:divBdr>
        </w:div>
        <w:div w:id="427849997">
          <w:marLeft w:val="0"/>
          <w:marRight w:val="0"/>
          <w:marTop w:val="0"/>
          <w:marBottom w:val="0"/>
          <w:divBdr>
            <w:top w:val="none" w:sz="0" w:space="0" w:color="auto"/>
            <w:left w:val="none" w:sz="0" w:space="0" w:color="auto"/>
            <w:bottom w:val="none" w:sz="0" w:space="0" w:color="auto"/>
            <w:right w:val="none" w:sz="0" w:space="0" w:color="auto"/>
          </w:divBdr>
        </w:div>
        <w:div w:id="434131298">
          <w:marLeft w:val="0"/>
          <w:marRight w:val="0"/>
          <w:marTop w:val="0"/>
          <w:marBottom w:val="0"/>
          <w:divBdr>
            <w:top w:val="none" w:sz="0" w:space="0" w:color="auto"/>
            <w:left w:val="none" w:sz="0" w:space="0" w:color="auto"/>
            <w:bottom w:val="none" w:sz="0" w:space="0" w:color="auto"/>
            <w:right w:val="none" w:sz="0" w:space="0" w:color="auto"/>
          </w:divBdr>
        </w:div>
        <w:div w:id="489250244">
          <w:marLeft w:val="0"/>
          <w:marRight w:val="0"/>
          <w:marTop w:val="0"/>
          <w:marBottom w:val="0"/>
          <w:divBdr>
            <w:top w:val="none" w:sz="0" w:space="0" w:color="auto"/>
            <w:left w:val="none" w:sz="0" w:space="0" w:color="auto"/>
            <w:bottom w:val="none" w:sz="0" w:space="0" w:color="auto"/>
            <w:right w:val="none" w:sz="0" w:space="0" w:color="auto"/>
          </w:divBdr>
        </w:div>
        <w:div w:id="604002181">
          <w:marLeft w:val="0"/>
          <w:marRight w:val="0"/>
          <w:marTop w:val="0"/>
          <w:marBottom w:val="0"/>
          <w:divBdr>
            <w:top w:val="none" w:sz="0" w:space="0" w:color="auto"/>
            <w:left w:val="none" w:sz="0" w:space="0" w:color="auto"/>
            <w:bottom w:val="none" w:sz="0" w:space="0" w:color="auto"/>
            <w:right w:val="none" w:sz="0" w:space="0" w:color="auto"/>
          </w:divBdr>
        </w:div>
        <w:div w:id="761992527">
          <w:marLeft w:val="0"/>
          <w:marRight w:val="0"/>
          <w:marTop w:val="0"/>
          <w:marBottom w:val="0"/>
          <w:divBdr>
            <w:top w:val="none" w:sz="0" w:space="0" w:color="auto"/>
            <w:left w:val="none" w:sz="0" w:space="0" w:color="auto"/>
            <w:bottom w:val="none" w:sz="0" w:space="0" w:color="auto"/>
            <w:right w:val="none" w:sz="0" w:space="0" w:color="auto"/>
          </w:divBdr>
        </w:div>
        <w:div w:id="812210860">
          <w:marLeft w:val="0"/>
          <w:marRight w:val="0"/>
          <w:marTop w:val="0"/>
          <w:marBottom w:val="0"/>
          <w:divBdr>
            <w:top w:val="none" w:sz="0" w:space="0" w:color="auto"/>
            <w:left w:val="none" w:sz="0" w:space="0" w:color="auto"/>
            <w:bottom w:val="none" w:sz="0" w:space="0" w:color="auto"/>
            <w:right w:val="none" w:sz="0" w:space="0" w:color="auto"/>
          </w:divBdr>
        </w:div>
        <w:div w:id="987052765">
          <w:marLeft w:val="0"/>
          <w:marRight w:val="0"/>
          <w:marTop w:val="0"/>
          <w:marBottom w:val="0"/>
          <w:divBdr>
            <w:top w:val="none" w:sz="0" w:space="0" w:color="auto"/>
            <w:left w:val="none" w:sz="0" w:space="0" w:color="auto"/>
            <w:bottom w:val="none" w:sz="0" w:space="0" w:color="auto"/>
            <w:right w:val="none" w:sz="0" w:space="0" w:color="auto"/>
          </w:divBdr>
        </w:div>
        <w:div w:id="1024138377">
          <w:marLeft w:val="0"/>
          <w:marRight w:val="0"/>
          <w:marTop w:val="0"/>
          <w:marBottom w:val="0"/>
          <w:divBdr>
            <w:top w:val="none" w:sz="0" w:space="0" w:color="auto"/>
            <w:left w:val="none" w:sz="0" w:space="0" w:color="auto"/>
            <w:bottom w:val="none" w:sz="0" w:space="0" w:color="auto"/>
            <w:right w:val="none" w:sz="0" w:space="0" w:color="auto"/>
          </w:divBdr>
        </w:div>
        <w:div w:id="1038898575">
          <w:marLeft w:val="0"/>
          <w:marRight w:val="0"/>
          <w:marTop w:val="0"/>
          <w:marBottom w:val="0"/>
          <w:divBdr>
            <w:top w:val="none" w:sz="0" w:space="0" w:color="auto"/>
            <w:left w:val="none" w:sz="0" w:space="0" w:color="auto"/>
            <w:bottom w:val="none" w:sz="0" w:space="0" w:color="auto"/>
            <w:right w:val="none" w:sz="0" w:space="0" w:color="auto"/>
          </w:divBdr>
        </w:div>
        <w:div w:id="1147013595">
          <w:marLeft w:val="0"/>
          <w:marRight w:val="0"/>
          <w:marTop w:val="0"/>
          <w:marBottom w:val="0"/>
          <w:divBdr>
            <w:top w:val="none" w:sz="0" w:space="0" w:color="auto"/>
            <w:left w:val="none" w:sz="0" w:space="0" w:color="auto"/>
            <w:bottom w:val="none" w:sz="0" w:space="0" w:color="auto"/>
            <w:right w:val="none" w:sz="0" w:space="0" w:color="auto"/>
          </w:divBdr>
        </w:div>
        <w:div w:id="1177427562">
          <w:marLeft w:val="0"/>
          <w:marRight w:val="0"/>
          <w:marTop w:val="0"/>
          <w:marBottom w:val="0"/>
          <w:divBdr>
            <w:top w:val="none" w:sz="0" w:space="0" w:color="auto"/>
            <w:left w:val="none" w:sz="0" w:space="0" w:color="auto"/>
            <w:bottom w:val="none" w:sz="0" w:space="0" w:color="auto"/>
            <w:right w:val="none" w:sz="0" w:space="0" w:color="auto"/>
          </w:divBdr>
        </w:div>
        <w:div w:id="1252154295">
          <w:marLeft w:val="0"/>
          <w:marRight w:val="0"/>
          <w:marTop w:val="0"/>
          <w:marBottom w:val="0"/>
          <w:divBdr>
            <w:top w:val="none" w:sz="0" w:space="0" w:color="auto"/>
            <w:left w:val="none" w:sz="0" w:space="0" w:color="auto"/>
            <w:bottom w:val="none" w:sz="0" w:space="0" w:color="auto"/>
            <w:right w:val="none" w:sz="0" w:space="0" w:color="auto"/>
          </w:divBdr>
        </w:div>
        <w:div w:id="1343628952">
          <w:marLeft w:val="0"/>
          <w:marRight w:val="0"/>
          <w:marTop w:val="0"/>
          <w:marBottom w:val="0"/>
          <w:divBdr>
            <w:top w:val="none" w:sz="0" w:space="0" w:color="auto"/>
            <w:left w:val="none" w:sz="0" w:space="0" w:color="auto"/>
            <w:bottom w:val="none" w:sz="0" w:space="0" w:color="auto"/>
            <w:right w:val="none" w:sz="0" w:space="0" w:color="auto"/>
          </w:divBdr>
        </w:div>
        <w:div w:id="1470249475">
          <w:marLeft w:val="0"/>
          <w:marRight w:val="0"/>
          <w:marTop w:val="0"/>
          <w:marBottom w:val="0"/>
          <w:divBdr>
            <w:top w:val="none" w:sz="0" w:space="0" w:color="auto"/>
            <w:left w:val="none" w:sz="0" w:space="0" w:color="auto"/>
            <w:bottom w:val="none" w:sz="0" w:space="0" w:color="auto"/>
            <w:right w:val="none" w:sz="0" w:space="0" w:color="auto"/>
          </w:divBdr>
        </w:div>
        <w:div w:id="1645744278">
          <w:marLeft w:val="0"/>
          <w:marRight w:val="0"/>
          <w:marTop w:val="0"/>
          <w:marBottom w:val="0"/>
          <w:divBdr>
            <w:top w:val="none" w:sz="0" w:space="0" w:color="auto"/>
            <w:left w:val="none" w:sz="0" w:space="0" w:color="auto"/>
            <w:bottom w:val="none" w:sz="0" w:space="0" w:color="auto"/>
            <w:right w:val="none" w:sz="0" w:space="0" w:color="auto"/>
          </w:divBdr>
        </w:div>
        <w:div w:id="1716849408">
          <w:marLeft w:val="0"/>
          <w:marRight w:val="0"/>
          <w:marTop w:val="0"/>
          <w:marBottom w:val="0"/>
          <w:divBdr>
            <w:top w:val="none" w:sz="0" w:space="0" w:color="auto"/>
            <w:left w:val="none" w:sz="0" w:space="0" w:color="auto"/>
            <w:bottom w:val="none" w:sz="0" w:space="0" w:color="auto"/>
            <w:right w:val="none" w:sz="0" w:space="0" w:color="auto"/>
          </w:divBdr>
        </w:div>
        <w:div w:id="1849325350">
          <w:marLeft w:val="0"/>
          <w:marRight w:val="0"/>
          <w:marTop w:val="0"/>
          <w:marBottom w:val="0"/>
          <w:divBdr>
            <w:top w:val="none" w:sz="0" w:space="0" w:color="auto"/>
            <w:left w:val="none" w:sz="0" w:space="0" w:color="auto"/>
            <w:bottom w:val="none" w:sz="0" w:space="0" w:color="auto"/>
            <w:right w:val="none" w:sz="0" w:space="0" w:color="auto"/>
          </w:divBdr>
        </w:div>
        <w:div w:id="1884318187">
          <w:marLeft w:val="0"/>
          <w:marRight w:val="0"/>
          <w:marTop w:val="0"/>
          <w:marBottom w:val="0"/>
          <w:divBdr>
            <w:top w:val="none" w:sz="0" w:space="0" w:color="auto"/>
            <w:left w:val="none" w:sz="0" w:space="0" w:color="auto"/>
            <w:bottom w:val="none" w:sz="0" w:space="0" w:color="auto"/>
            <w:right w:val="none" w:sz="0" w:space="0" w:color="auto"/>
          </w:divBdr>
        </w:div>
        <w:div w:id="1885601864">
          <w:marLeft w:val="0"/>
          <w:marRight w:val="0"/>
          <w:marTop w:val="0"/>
          <w:marBottom w:val="0"/>
          <w:divBdr>
            <w:top w:val="none" w:sz="0" w:space="0" w:color="auto"/>
            <w:left w:val="none" w:sz="0" w:space="0" w:color="auto"/>
            <w:bottom w:val="none" w:sz="0" w:space="0" w:color="auto"/>
            <w:right w:val="none" w:sz="0" w:space="0" w:color="auto"/>
          </w:divBdr>
        </w:div>
        <w:div w:id="1984961381">
          <w:marLeft w:val="0"/>
          <w:marRight w:val="0"/>
          <w:marTop w:val="0"/>
          <w:marBottom w:val="0"/>
          <w:divBdr>
            <w:top w:val="none" w:sz="0" w:space="0" w:color="auto"/>
            <w:left w:val="none" w:sz="0" w:space="0" w:color="auto"/>
            <w:bottom w:val="none" w:sz="0" w:space="0" w:color="auto"/>
            <w:right w:val="none" w:sz="0" w:space="0" w:color="auto"/>
          </w:divBdr>
        </w:div>
      </w:divsChild>
    </w:div>
    <w:div w:id="1539465033">
      <w:bodyDiv w:val="1"/>
      <w:marLeft w:val="0"/>
      <w:marRight w:val="0"/>
      <w:marTop w:val="0"/>
      <w:marBottom w:val="0"/>
      <w:divBdr>
        <w:top w:val="none" w:sz="0" w:space="0" w:color="auto"/>
        <w:left w:val="none" w:sz="0" w:space="0" w:color="auto"/>
        <w:bottom w:val="none" w:sz="0" w:space="0" w:color="auto"/>
        <w:right w:val="none" w:sz="0" w:space="0" w:color="auto"/>
      </w:divBdr>
    </w:div>
    <w:div w:id="1584531463">
      <w:bodyDiv w:val="1"/>
      <w:marLeft w:val="0"/>
      <w:marRight w:val="0"/>
      <w:marTop w:val="0"/>
      <w:marBottom w:val="0"/>
      <w:divBdr>
        <w:top w:val="none" w:sz="0" w:space="0" w:color="auto"/>
        <w:left w:val="none" w:sz="0" w:space="0" w:color="auto"/>
        <w:bottom w:val="none" w:sz="0" w:space="0" w:color="auto"/>
        <w:right w:val="none" w:sz="0" w:space="0" w:color="auto"/>
      </w:divBdr>
      <w:divsChild>
        <w:div w:id="356123781">
          <w:marLeft w:val="1166"/>
          <w:marRight w:val="0"/>
          <w:marTop w:val="86"/>
          <w:marBottom w:val="0"/>
          <w:divBdr>
            <w:top w:val="none" w:sz="0" w:space="0" w:color="auto"/>
            <w:left w:val="none" w:sz="0" w:space="0" w:color="auto"/>
            <w:bottom w:val="none" w:sz="0" w:space="0" w:color="auto"/>
            <w:right w:val="none" w:sz="0" w:space="0" w:color="auto"/>
          </w:divBdr>
        </w:div>
        <w:div w:id="507795580">
          <w:marLeft w:val="1166"/>
          <w:marRight w:val="0"/>
          <w:marTop w:val="86"/>
          <w:marBottom w:val="0"/>
          <w:divBdr>
            <w:top w:val="none" w:sz="0" w:space="0" w:color="auto"/>
            <w:left w:val="none" w:sz="0" w:space="0" w:color="auto"/>
            <w:bottom w:val="none" w:sz="0" w:space="0" w:color="auto"/>
            <w:right w:val="none" w:sz="0" w:space="0" w:color="auto"/>
          </w:divBdr>
        </w:div>
        <w:div w:id="1155948548">
          <w:marLeft w:val="547"/>
          <w:marRight w:val="0"/>
          <w:marTop w:val="86"/>
          <w:marBottom w:val="0"/>
          <w:divBdr>
            <w:top w:val="none" w:sz="0" w:space="0" w:color="auto"/>
            <w:left w:val="none" w:sz="0" w:space="0" w:color="auto"/>
            <w:bottom w:val="none" w:sz="0" w:space="0" w:color="auto"/>
            <w:right w:val="none" w:sz="0" w:space="0" w:color="auto"/>
          </w:divBdr>
        </w:div>
        <w:div w:id="1561163152">
          <w:marLeft w:val="1166"/>
          <w:marRight w:val="0"/>
          <w:marTop w:val="86"/>
          <w:marBottom w:val="0"/>
          <w:divBdr>
            <w:top w:val="none" w:sz="0" w:space="0" w:color="auto"/>
            <w:left w:val="none" w:sz="0" w:space="0" w:color="auto"/>
            <w:bottom w:val="none" w:sz="0" w:space="0" w:color="auto"/>
            <w:right w:val="none" w:sz="0" w:space="0" w:color="auto"/>
          </w:divBdr>
        </w:div>
        <w:div w:id="1900481849">
          <w:marLeft w:val="547"/>
          <w:marRight w:val="0"/>
          <w:marTop w:val="86"/>
          <w:marBottom w:val="0"/>
          <w:divBdr>
            <w:top w:val="none" w:sz="0" w:space="0" w:color="auto"/>
            <w:left w:val="none" w:sz="0" w:space="0" w:color="auto"/>
            <w:bottom w:val="none" w:sz="0" w:space="0" w:color="auto"/>
            <w:right w:val="none" w:sz="0" w:space="0" w:color="auto"/>
          </w:divBdr>
        </w:div>
      </w:divsChild>
    </w:div>
    <w:div w:id="1592397177">
      <w:bodyDiv w:val="1"/>
      <w:marLeft w:val="0"/>
      <w:marRight w:val="0"/>
      <w:marTop w:val="0"/>
      <w:marBottom w:val="0"/>
      <w:divBdr>
        <w:top w:val="none" w:sz="0" w:space="0" w:color="auto"/>
        <w:left w:val="none" w:sz="0" w:space="0" w:color="auto"/>
        <w:bottom w:val="none" w:sz="0" w:space="0" w:color="auto"/>
        <w:right w:val="none" w:sz="0" w:space="0" w:color="auto"/>
      </w:divBdr>
    </w:div>
    <w:div w:id="1594557149">
      <w:bodyDiv w:val="1"/>
      <w:marLeft w:val="0"/>
      <w:marRight w:val="0"/>
      <w:marTop w:val="0"/>
      <w:marBottom w:val="0"/>
      <w:divBdr>
        <w:top w:val="none" w:sz="0" w:space="0" w:color="auto"/>
        <w:left w:val="none" w:sz="0" w:space="0" w:color="auto"/>
        <w:bottom w:val="none" w:sz="0" w:space="0" w:color="auto"/>
        <w:right w:val="none" w:sz="0" w:space="0" w:color="auto"/>
      </w:divBdr>
    </w:div>
    <w:div w:id="1597327684">
      <w:bodyDiv w:val="1"/>
      <w:marLeft w:val="0"/>
      <w:marRight w:val="0"/>
      <w:marTop w:val="0"/>
      <w:marBottom w:val="0"/>
      <w:divBdr>
        <w:top w:val="none" w:sz="0" w:space="0" w:color="auto"/>
        <w:left w:val="none" w:sz="0" w:space="0" w:color="auto"/>
        <w:bottom w:val="none" w:sz="0" w:space="0" w:color="auto"/>
        <w:right w:val="none" w:sz="0" w:space="0" w:color="auto"/>
      </w:divBdr>
      <w:divsChild>
        <w:div w:id="48842372">
          <w:marLeft w:val="0"/>
          <w:marRight w:val="0"/>
          <w:marTop w:val="0"/>
          <w:marBottom w:val="0"/>
          <w:divBdr>
            <w:top w:val="none" w:sz="0" w:space="0" w:color="auto"/>
            <w:left w:val="none" w:sz="0" w:space="0" w:color="auto"/>
            <w:bottom w:val="none" w:sz="0" w:space="0" w:color="auto"/>
            <w:right w:val="none" w:sz="0" w:space="0" w:color="auto"/>
          </w:divBdr>
          <w:divsChild>
            <w:div w:id="583802906">
              <w:marLeft w:val="0"/>
              <w:marRight w:val="0"/>
              <w:marTop w:val="0"/>
              <w:marBottom w:val="0"/>
              <w:divBdr>
                <w:top w:val="none" w:sz="0" w:space="0" w:color="auto"/>
                <w:left w:val="none" w:sz="0" w:space="0" w:color="auto"/>
                <w:bottom w:val="none" w:sz="0" w:space="0" w:color="auto"/>
                <w:right w:val="none" w:sz="0" w:space="0" w:color="auto"/>
              </w:divBdr>
            </w:div>
            <w:div w:id="595940204">
              <w:marLeft w:val="0"/>
              <w:marRight w:val="0"/>
              <w:marTop w:val="0"/>
              <w:marBottom w:val="0"/>
              <w:divBdr>
                <w:top w:val="none" w:sz="0" w:space="0" w:color="auto"/>
                <w:left w:val="none" w:sz="0" w:space="0" w:color="auto"/>
                <w:bottom w:val="none" w:sz="0" w:space="0" w:color="auto"/>
                <w:right w:val="none" w:sz="0" w:space="0" w:color="auto"/>
              </w:divBdr>
            </w:div>
            <w:div w:id="1874924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834091">
      <w:bodyDiv w:val="1"/>
      <w:marLeft w:val="0"/>
      <w:marRight w:val="0"/>
      <w:marTop w:val="0"/>
      <w:marBottom w:val="0"/>
      <w:divBdr>
        <w:top w:val="none" w:sz="0" w:space="0" w:color="auto"/>
        <w:left w:val="none" w:sz="0" w:space="0" w:color="auto"/>
        <w:bottom w:val="none" w:sz="0" w:space="0" w:color="auto"/>
        <w:right w:val="none" w:sz="0" w:space="0" w:color="auto"/>
      </w:divBdr>
      <w:divsChild>
        <w:div w:id="86389352">
          <w:marLeft w:val="0"/>
          <w:marRight w:val="0"/>
          <w:marTop w:val="0"/>
          <w:marBottom w:val="0"/>
          <w:divBdr>
            <w:top w:val="none" w:sz="0" w:space="0" w:color="auto"/>
            <w:left w:val="none" w:sz="0" w:space="0" w:color="auto"/>
            <w:bottom w:val="none" w:sz="0" w:space="0" w:color="auto"/>
            <w:right w:val="none" w:sz="0" w:space="0" w:color="auto"/>
          </w:divBdr>
          <w:divsChild>
            <w:div w:id="674570899">
              <w:marLeft w:val="0"/>
              <w:marRight w:val="0"/>
              <w:marTop w:val="0"/>
              <w:marBottom w:val="0"/>
              <w:divBdr>
                <w:top w:val="none" w:sz="0" w:space="0" w:color="auto"/>
                <w:left w:val="none" w:sz="0" w:space="0" w:color="auto"/>
                <w:bottom w:val="none" w:sz="0" w:space="0" w:color="auto"/>
                <w:right w:val="none" w:sz="0" w:space="0" w:color="auto"/>
              </w:divBdr>
              <w:divsChild>
                <w:div w:id="1713653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279417">
      <w:bodyDiv w:val="1"/>
      <w:marLeft w:val="0"/>
      <w:marRight w:val="0"/>
      <w:marTop w:val="0"/>
      <w:marBottom w:val="0"/>
      <w:divBdr>
        <w:top w:val="none" w:sz="0" w:space="0" w:color="auto"/>
        <w:left w:val="none" w:sz="0" w:space="0" w:color="auto"/>
        <w:bottom w:val="none" w:sz="0" w:space="0" w:color="auto"/>
        <w:right w:val="none" w:sz="0" w:space="0" w:color="auto"/>
      </w:divBdr>
      <w:divsChild>
        <w:div w:id="271864289">
          <w:marLeft w:val="0"/>
          <w:marRight w:val="0"/>
          <w:marTop w:val="0"/>
          <w:marBottom w:val="0"/>
          <w:divBdr>
            <w:top w:val="none" w:sz="0" w:space="0" w:color="auto"/>
            <w:left w:val="none" w:sz="0" w:space="0" w:color="auto"/>
            <w:bottom w:val="none" w:sz="0" w:space="0" w:color="auto"/>
            <w:right w:val="none" w:sz="0" w:space="0" w:color="auto"/>
          </w:divBdr>
        </w:div>
        <w:div w:id="613170997">
          <w:marLeft w:val="0"/>
          <w:marRight w:val="0"/>
          <w:marTop w:val="0"/>
          <w:marBottom w:val="0"/>
          <w:divBdr>
            <w:top w:val="none" w:sz="0" w:space="0" w:color="auto"/>
            <w:left w:val="none" w:sz="0" w:space="0" w:color="auto"/>
            <w:bottom w:val="none" w:sz="0" w:space="0" w:color="auto"/>
            <w:right w:val="none" w:sz="0" w:space="0" w:color="auto"/>
          </w:divBdr>
        </w:div>
        <w:div w:id="901599245">
          <w:marLeft w:val="0"/>
          <w:marRight w:val="0"/>
          <w:marTop w:val="0"/>
          <w:marBottom w:val="0"/>
          <w:divBdr>
            <w:top w:val="none" w:sz="0" w:space="0" w:color="auto"/>
            <w:left w:val="none" w:sz="0" w:space="0" w:color="auto"/>
            <w:bottom w:val="none" w:sz="0" w:space="0" w:color="auto"/>
            <w:right w:val="none" w:sz="0" w:space="0" w:color="auto"/>
          </w:divBdr>
        </w:div>
        <w:div w:id="1368527879">
          <w:marLeft w:val="0"/>
          <w:marRight w:val="0"/>
          <w:marTop w:val="0"/>
          <w:marBottom w:val="0"/>
          <w:divBdr>
            <w:top w:val="none" w:sz="0" w:space="0" w:color="auto"/>
            <w:left w:val="none" w:sz="0" w:space="0" w:color="auto"/>
            <w:bottom w:val="none" w:sz="0" w:space="0" w:color="auto"/>
            <w:right w:val="none" w:sz="0" w:space="0" w:color="auto"/>
          </w:divBdr>
        </w:div>
        <w:div w:id="1899243694">
          <w:marLeft w:val="0"/>
          <w:marRight w:val="0"/>
          <w:marTop w:val="0"/>
          <w:marBottom w:val="0"/>
          <w:divBdr>
            <w:top w:val="none" w:sz="0" w:space="0" w:color="auto"/>
            <w:left w:val="none" w:sz="0" w:space="0" w:color="auto"/>
            <w:bottom w:val="none" w:sz="0" w:space="0" w:color="auto"/>
            <w:right w:val="none" w:sz="0" w:space="0" w:color="auto"/>
          </w:divBdr>
        </w:div>
      </w:divsChild>
    </w:div>
    <w:div w:id="1618871628">
      <w:bodyDiv w:val="1"/>
      <w:marLeft w:val="0"/>
      <w:marRight w:val="0"/>
      <w:marTop w:val="0"/>
      <w:marBottom w:val="0"/>
      <w:divBdr>
        <w:top w:val="none" w:sz="0" w:space="0" w:color="auto"/>
        <w:left w:val="none" w:sz="0" w:space="0" w:color="auto"/>
        <w:bottom w:val="none" w:sz="0" w:space="0" w:color="auto"/>
        <w:right w:val="none" w:sz="0" w:space="0" w:color="auto"/>
      </w:divBdr>
      <w:divsChild>
        <w:div w:id="328799413">
          <w:marLeft w:val="0"/>
          <w:marRight w:val="0"/>
          <w:marTop w:val="0"/>
          <w:marBottom w:val="0"/>
          <w:divBdr>
            <w:top w:val="none" w:sz="0" w:space="0" w:color="auto"/>
            <w:left w:val="none" w:sz="0" w:space="0" w:color="auto"/>
            <w:bottom w:val="none" w:sz="0" w:space="0" w:color="auto"/>
            <w:right w:val="none" w:sz="0" w:space="0" w:color="auto"/>
          </w:divBdr>
          <w:divsChild>
            <w:div w:id="666977912">
              <w:marLeft w:val="0"/>
              <w:marRight w:val="0"/>
              <w:marTop w:val="0"/>
              <w:marBottom w:val="0"/>
              <w:divBdr>
                <w:top w:val="none" w:sz="0" w:space="0" w:color="auto"/>
                <w:left w:val="none" w:sz="0" w:space="0" w:color="auto"/>
                <w:bottom w:val="none" w:sz="0" w:space="0" w:color="auto"/>
                <w:right w:val="none" w:sz="0" w:space="0" w:color="auto"/>
              </w:divBdr>
              <w:divsChild>
                <w:div w:id="440077871">
                  <w:marLeft w:val="0"/>
                  <w:marRight w:val="0"/>
                  <w:marTop w:val="0"/>
                  <w:marBottom w:val="0"/>
                  <w:divBdr>
                    <w:top w:val="none" w:sz="0" w:space="0" w:color="auto"/>
                    <w:left w:val="none" w:sz="0" w:space="0" w:color="auto"/>
                    <w:bottom w:val="none" w:sz="0" w:space="0" w:color="auto"/>
                    <w:right w:val="none" w:sz="0" w:space="0" w:color="auto"/>
                  </w:divBdr>
                  <w:divsChild>
                    <w:div w:id="197764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640260">
          <w:marLeft w:val="0"/>
          <w:marRight w:val="0"/>
          <w:marTop w:val="0"/>
          <w:marBottom w:val="0"/>
          <w:divBdr>
            <w:top w:val="none" w:sz="0" w:space="0" w:color="auto"/>
            <w:left w:val="none" w:sz="0" w:space="0" w:color="auto"/>
            <w:bottom w:val="none" w:sz="0" w:space="0" w:color="auto"/>
            <w:right w:val="none" w:sz="0" w:space="0" w:color="auto"/>
          </w:divBdr>
        </w:div>
      </w:divsChild>
    </w:div>
    <w:div w:id="1646079315">
      <w:bodyDiv w:val="1"/>
      <w:marLeft w:val="0"/>
      <w:marRight w:val="0"/>
      <w:marTop w:val="0"/>
      <w:marBottom w:val="0"/>
      <w:divBdr>
        <w:top w:val="none" w:sz="0" w:space="0" w:color="auto"/>
        <w:left w:val="none" w:sz="0" w:space="0" w:color="auto"/>
        <w:bottom w:val="none" w:sz="0" w:space="0" w:color="auto"/>
        <w:right w:val="none" w:sz="0" w:space="0" w:color="auto"/>
      </w:divBdr>
      <w:divsChild>
        <w:div w:id="813569268">
          <w:marLeft w:val="0"/>
          <w:marRight w:val="0"/>
          <w:marTop w:val="0"/>
          <w:marBottom w:val="0"/>
          <w:divBdr>
            <w:top w:val="none" w:sz="0" w:space="0" w:color="auto"/>
            <w:left w:val="none" w:sz="0" w:space="0" w:color="auto"/>
            <w:bottom w:val="none" w:sz="0" w:space="0" w:color="auto"/>
            <w:right w:val="none" w:sz="0" w:space="0" w:color="auto"/>
          </w:divBdr>
        </w:div>
        <w:div w:id="1386174050">
          <w:marLeft w:val="0"/>
          <w:marRight w:val="0"/>
          <w:marTop w:val="0"/>
          <w:marBottom w:val="0"/>
          <w:divBdr>
            <w:top w:val="none" w:sz="0" w:space="0" w:color="auto"/>
            <w:left w:val="none" w:sz="0" w:space="0" w:color="auto"/>
            <w:bottom w:val="none" w:sz="0" w:space="0" w:color="auto"/>
            <w:right w:val="none" w:sz="0" w:space="0" w:color="auto"/>
          </w:divBdr>
        </w:div>
        <w:div w:id="2141075349">
          <w:marLeft w:val="0"/>
          <w:marRight w:val="0"/>
          <w:marTop w:val="0"/>
          <w:marBottom w:val="0"/>
          <w:divBdr>
            <w:top w:val="none" w:sz="0" w:space="0" w:color="auto"/>
            <w:left w:val="none" w:sz="0" w:space="0" w:color="auto"/>
            <w:bottom w:val="none" w:sz="0" w:space="0" w:color="auto"/>
            <w:right w:val="none" w:sz="0" w:space="0" w:color="auto"/>
          </w:divBdr>
        </w:div>
      </w:divsChild>
    </w:div>
    <w:div w:id="1652560346">
      <w:bodyDiv w:val="1"/>
      <w:marLeft w:val="0"/>
      <w:marRight w:val="0"/>
      <w:marTop w:val="0"/>
      <w:marBottom w:val="0"/>
      <w:divBdr>
        <w:top w:val="none" w:sz="0" w:space="0" w:color="auto"/>
        <w:left w:val="none" w:sz="0" w:space="0" w:color="auto"/>
        <w:bottom w:val="none" w:sz="0" w:space="0" w:color="auto"/>
        <w:right w:val="none" w:sz="0" w:space="0" w:color="auto"/>
      </w:divBdr>
      <w:divsChild>
        <w:div w:id="1132401711">
          <w:marLeft w:val="547"/>
          <w:marRight w:val="0"/>
          <w:marTop w:val="77"/>
          <w:marBottom w:val="0"/>
          <w:divBdr>
            <w:top w:val="none" w:sz="0" w:space="0" w:color="auto"/>
            <w:left w:val="none" w:sz="0" w:space="0" w:color="auto"/>
            <w:bottom w:val="none" w:sz="0" w:space="0" w:color="auto"/>
            <w:right w:val="none" w:sz="0" w:space="0" w:color="auto"/>
          </w:divBdr>
        </w:div>
      </w:divsChild>
    </w:div>
    <w:div w:id="1692296927">
      <w:bodyDiv w:val="1"/>
      <w:marLeft w:val="0"/>
      <w:marRight w:val="0"/>
      <w:marTop w:val="0"/>
      <w:marBottom w:val="0"/>
      <w:divBdr>
        <w:top w:val="none" w:sz="0" w:space="0" w:color="auto"/>
        <w:left w:val="none" w:sz="0" w:space="0" w:color="auto"/>
        <w:bottom w:val="none" w:sz="0" w:space="0" w:color="auto"/>
        <w:right w:val="none" w:sz="0" w:space="0" w:color="auto"/>
      </w:divBdr>
    </w:div>
    <w:div w:id="1714888900">
      <w:bodyDiv w:val="1"/>
      <w:marLeft w:val="0"/>
      <w:marRight w:val="0"/>
      <w:marTop w:val="0"/>
      <w:marBottom w:val="0"/>
      <w:divBdr>
        <w:top w:val="none" w:sz="0" w:space="0" w:color="auto"/>
        <w:left w:val="none" w:sz="0" w:space="0" w:color="auto"/>
        <w:bottom w:val="none" w:sz="0" w:space="0" w:color="auto"/>
        <w:right w:val="none" w:sz="0" w:space="0" w:color="auto"/>
      </w:divBdr>
      <w:divsChild>
        <w:div w:id="352998464">
          <w:marLeft w:val="547"/>
          <w:marRight w:val="0"/>
          <w:marTop w:val="120"/>
          <w:marBottom w:val="0"/>
          <w:divBdr>
            <w:top w:val="none" w:sz="0" w:space="0" w:color="auto"/>
            <w:left w:val="none" w:sz="0" w:space="0" w:color="auto"/>
            <w:bottom w:val="none" w:sz="0" w:space="0" w:color="auto"/>
            <w:right w:val="none" w:sz="0" w:space="0" w:color="auto"/>
          </w:divBdr>
        </w:div>
        <w:div w:id="467405597">
          <w:marLeft w:val="547"/>
          <w:marRight w:val="0"/>
          <w:marTop w:val="120"/>
          <w:marBottom w:val="0"/>
          <w:divBdr>
            <w:top w:val="none" w:sz="0" w:space="0" w:color="auto"/>
            <w:left w:val="none" w:sz="0" w:space="0" w:color="auto"/>
            <w:bottom w:val="none" w:sz="0" w:space="0" w:color="auto"/>
            <w:right w:val="none" w:sz="0" w:space="0" w:color="auto"/>
          </w:divBdr>
        </w:div>
        <w:div w:id="537819853">
          <w:marLeft w:val="547"/>
          <w:marRight w:val="0"/>
          <w:marTop w:val="120"/>
          <w:marBottom w:val="0"/>
          <w:divBdr>
            <w:top w:val="none" w:sz="0" w:space="0" w:color="auto"/>
            <w:left w:val="none" w:sz="0" w:space="0" w:color="auto"/>
            <w:bottom w:val="none" w:sz="0" w:space="0" w:color="auto"/>
            <w:right w:val="none" w:sz="0" w:space="0" w:color="auto"/>
          </w:divBdr>
        </w:div>
        <w:div w:id="1859388072">
          <w:marLeft w:val="547"/>
          <w:marRight w:val="0"/>
          <w:marTop w:val="120"/>
          <w:marBottom w:val="0"/>
          <w:divBdr>
            <w:top w:val="none" w:sz="0" w:space="0" w:color="auto"/>
            <w:left w:val="none" w:sz="0" w:space="0" w:color="auto"/>
            <w:bottom w:val="none" w:sz="0" w:space="0" w:color="auto"/>
            <w:right w:val="none" w:sz="0" w:space="0" w:color="auto"/>
          </w:divBdr>
        </w:div>
      </w:divsChild>
    </w:div>
    <w:div w:id="1752894755">
      <w:bodyDiv w:val="1"/>
      <w:marLeft w:val="0"/>
      <w:marRight w:val="0"/>
      <w:marTop w:val="0"/>
      <w:marBottom w:val="0"/>
      <w:divBdr>
        <w:top w:val="none" w:sz="0" w:space="0" w:color="auto"/>
        <w:left w:val="none" w:sz="0" w:space="0" w:color="auto"/>
        <w:bottom w:val="none" w:sz="0" w:space="0" w:color="auto"/>
        <w:right w:val="none" w:sz="0" w:space="0" w:color="auto"/>
      </w:divBdr>
    </w:div>
    <w:div w:id="1815103089">
      <w:bodyDiv w:val="1"/>
      <w:marLeft w:val="0"/>
      <w:marRight w:val="0"/>
      <w:marTop w:val="0"/>
      <w:marBottom w:val="0"/>
      <w:divBdr>
        <w:top w:val="none" w:sz="0" w:space="0" w:color="auto"/>
        <w:left w:val="none" w:sz="0" w:space="0" w:color="auto"/>
        <w:bottom w:val="none" w:sz="0" w:space="0" w:color="auto"/>
        <w:right w:val="none" w:sz="0" w:space="0" w:color="auto"/>
      </w:divBdr>
      <w:divsChild>
        <w:div w:id="125509269">
          <w:marLeft w:val="0"/>
          <w:marRight w:val="0"/>
          <w:marTop w:val="0"/>
          <w:marBottom w:val="0"/>
          <w:divBdr>
            <w:top w:val="none" w:sz="0" w:space="0" w:color="auto"/>
            <w:left w:val="none" w:sz="0" w:space="0" w:color="auto"/>
            <w:bottom w:val="none" w:sz="0" w:space="0" w:color="auto"/>
            <w:right w:val="none" w:sz="0" w:space="0" w:color="auto"/>
          </w:divBdr>
        </w:div>
        <w:div w:id="430587471">
          <w:marLeft w:val="0"/>
          <w:marRight w:val="0"/>
          <w:marTop w:val="0"/>
          <w:marBottom w:val="0"/>
          <w:divBdr>
            <w:top w:val="none" w:sz="0" w:space="0" w:color="auto"/>
            <w:left w:val="none" w:sz="0" w:space="0" w:color="auto"/>
            <w:bottom w:val="none" w:sz="0" w:space="0" w:color="auto"/>
            <w:right w:val="none" w:sz="0" w:space="0" w:color="auto"/>
          </w:divBdr>
        </w:div>
        <w:div w:id="858547203">
          <w:marLeft w:val="0"/>
          <w:marRight w:val="0"/>
          <w:marTop w:val="0"/>
          <w:marBottom w:val="0"/>
          <w:divBdr>
            <w:top w:val="none" w:sz="0" w:space="0" w:color="auto"/>
            <w:left w:val="none" w:sz="0" w:space="0" w:color="auto"/>
            <w:bottom w:val="none" w:sz="0" w:space="0" w:color="auto"/>
            <w:right w:val="none" w:sz="0" w:space="0" w:color="auto"/>
          </w:divBdr>
        </w:div>
        <w:div w:id="883709747">
          <w:marLeft w:val="0"/>
          <w:marRight w:val="0"/>
          <w:marTop w:val="0"/>
          <w:marBottom w:val="0"/>
          <w:divBdr>
            <w:top w:val="none" w:sz="0" w:space="0" w:color="auto"/>
            <w:left w:val="none" w:sz="0" w:space="0" w:color="auto"/>
            <w:bottom w:val="none" w:sz="0" w:space="0" w:color="auto"/>
            <w:right w:val="none" w:sz="0" w:space="0" w:color="auto"/>
          </w:divBdr>
        </w:div>
        <w:div w:id="1484813695">
          <w:marLeft w:val="0"/>
          <w:marRight w:val="0"/>
          <w:marTop w:val="0"/>
          <w:marBottom w:val="0"/>
          <w:divBdr>
            <w:top w:val="none" w:sz="0" w:space="0" w:color="auto"/>
            <w:left w:val="none" w:sz="0" w:space="0" w:color="auto"/>
            <w:bottom w:val="none" w:sz="0" w:space="0" w:color="auto"/>
            <w:right w:val="none" w:sz="0" w:space="0" w:color="auto"/>
          </w:divBdr>
        </w:div>
        <w:div w:id="1595700474">
          <w:marLeft w:val="0"/>
          <w:marRight w:val="0"/>
          <w:marTop w:val="0"/>
          <w:marBottom w:val="0"/>
          <w:divBdr>
            <w:top w:val="none" w:sz="0" w:space="0" w:color="auto"/>
            <w:left w:val="none" w:sz="0" w:space="0" w:color="auto"/>
            <w:bottom w:val="none" w:sz="0" w:space="0" w:color="auto"/>
            <w:right w:val="none" w:sz="0" w:space="0" w:color="auto"/>
          </w:divBdr>
        </w:div>
      </w:divsChild>
    </w:div>
    <w:div w:id="1831940102">
      <w:bodyDiv w:val="1"/>
      <w:marLeft w:val="0"/>
      <w:marRight w:val="0"/>
      <w:marTop w:val="0"/>
      <w:marBottom w:val="0"/>
      <w:divBdr>
        <w:top w:val="none" w:sz="0" w:space="0" w:color="auto"/>
        <w:left w:val="none" w:sz="0" w:space="0" w:color="auto"/>
        <w:bottom w:val="none" w:sz="0" w:space="0" w:color="auto"/>
        <w:right w:val="none" w:sz="0" w:space="0" w:color="auto"/>
      </w:divBdr>
    </w:div>
    <w:div w:id="1838112834">
      <w:bodyDiv w:val="1"/>
      <w:marLeft w:val="0"/>
      <w:marRight w:val="0"/>
      <w:marTop w:val="0"/>
      <w:marBottom w:val="0"/>
      <w:divBdr>
        <w:top w:val="none" w:sz="0" w:space="0" w:color="auto"/>
        <w:left w:val="none" w:sz="0" w:space="0" w:color="auto"/>
        <w:bottom w:val="none" w:sz="0" w:space="0" w:color="auto"/>
        <w:right w:val="none" w:sz="0" w:space="0" w:color="auto"/>
      </w:divBdr>
      <w:divsChild>
        <w:div w:id="1425036714">
          <w:marLeft w:val="0"/>
          <w:marRight w:val="0"/>
          <w:marTop w:val="0"/>
          <w:marBottom w:val="0"/>
          <w:divBdr>
            <w:top w:val="none" w:sz="0" w:space="0" w:color="auto"/>
            <w:left w:val="none" w:sz="0" w:space="0" w:color="auto"/>
            <w:bottom w:val="none" w:sz="0" w:space="0" w:color="auto"/>
            <w:right w:val="none" w:sz="0" w:space="0" w:color="auto"/>
          </w:divBdr>
          <w:divsChild>
            <w:div w:id="1406412224">
              <w:marLeft w:val="0"/>
              <w:marRight w:val="0"/>
              <w:marTop w:val="0"/>
              <w:marBottom w:val="0"/>
              <w:divBdr>
                <w:top w:val="none" w:sz="0" w:space="0" w:color="auto"/>
                <w:left w:val="none" w:sz="0" w:space="0" w:color="auto"/>
                <w:bottom w:val="none" w:sz="0" w:space="0" w:color="auto"/>
                <w:right w:val="none" w:sz="0" w:space="0" w:color="auto"/>
              </w:divBdr>
              <w:divsChild>
                <w:div w:id="648631591">
                  <w:marLeft w:val="0"/>
                  <w:marRight w:val="0"/>
                  <w:marTop w:val="0"/>
                  <w:marBottom w:val="0"/>
                  <w:divBdr>
                    <w:top w:val="none" w:sz="0" w:space="0" w:color="auto"/>
                    <w:left w:val="none" w:sz="0" w:space="0" w:color="auto"/>
                    <w:bottom w:val="none" w:sz="0" w:space="0" w:color="auto"/>
                    <w:right w:val="none" w:sz="0" w:space="0" w:color="auto"/>
                  </w:divBdr>
                  <w:divsChild>
                    <w:div w:id="159010644">
                      <w:marLeft w:val="0"/>
                      <w:marRight w:val="0"/>
                      <w:marTop w:val="0"/>
                      <w:marBottom w:val="0"/>
                      <w:divBdr>
                        <w:top w:val="none" w:sz="0" w:space="0" w:color="auto"/>
                        <w:left w:val="none" w:sz="0" w:space="0" w:color="auto"/>
                        <w:bottom w:val="none" w:sz="0" w:space="0" w:color="auto"/>
                        <w:right w:val="none" w:sz="0" w:space="0" w:color="auto"/>
                      </w:divBdr>
                    </w:div>
                    <w:div w:id="298386220">
                      <w:marLeft w:val="0"/>
                      <w:marRight w:val="0"/>
                      <w:marTop w:val="0"/>
                      <w:marBottom w:val="0"/>
                      <w:divBdr>
                        <w:top w:val="none" w:sz="0" w:space="0" w:color="auto"/>
                        <w:left w:val="none" w:sz="0" w:space="0" w:color="auto"/>
                        <w:bottom w:val="none" w:sz="0" w:space="0" w:color="auto"/>
                        <w:right w:val="none" w:sz="0" w:space="0" w:color="auto"/>
                      </w:divBdr>
                      <w:divsChild>
                        <w:div w:id="586302349">
                          <w:marLeft w:val="0"/>
                          <w:marRight w:val="0"/>
                          <w:marTop w:val="0"/>
                          <w:marBottom w:val="0"/>
                          <w:divBdr>
                            <w:top w:val="none" w:sz="0" w:space="0" w:color="auto"/>
                            <w:left w:val="none" w:sz="0" w:space="0" w:color="auto"/>
                            <w:bottom w:val="none" w:sz="0" w:space="0" w:color="auto"/>
                            <w:right w:val="none" w:sz="0" w:space="0" w:color="auto"/>
                          </w:divBdr>
                        </w:div>
                        <w:div w:id="713584815">
                          <w:marLeft w:val="0"/>
                          <w:marRight w:val="0"/>
                          <w:marTop w:val="0"/>
                          <w:marBottom w:val="0"/>
                          <w:divBdr>
                            <w:top w:val="none" w:sz="0" w:space="0" w:color="auto"/>
                            <w:left w:val="none" w:sz="0" w:space="0" w:color="auto"/>
                            <w:bottom w:val="none" w:sz="0" w:space="0" w:color="auto"/>
                            <w:right w:val="none" w:sz="0" w:space="0" w:color="auto"/>
                          </w:divBdr>
                        </w:div>
                      </w:divsChild>
                    </w:div>
                    <w:div w:id="865294303">
                      <w:marLeft w:val="0"/>
                      <w:marRight w:val="0"/>
                      <w:marTop w:val="0"/>
                      <w:marBottom w:val="0"/>
                      <w:divBdr>
                        <w:top w:val="none" w:sz="0" w:space="0" w:color="auto"/>
                        <w:left w:val="none" w:sz="0" w:space="0" w:color="auto"/>
                        <w:bottom w:val="none" w:sz="0" w:space="0" w:color="auto"/>
                        <w:right w:val="none" w:sz="0" w:space="0" w:color="auto"/>
                      </w:divBdr>
                    </w:div>
                    <w:div w:id="1567759220">
                      <w:marLeft w:val="0"/>
                      <w:marRight w:val="0"/>
                      <w:marTop w:val="0"/>
                      <w:marBottom w:val="0"/>
                      <w:divBdr>
                        <w:top w:val="none" w:sz="0" w:space="0" w:color="auto"/>
                        <w:left w:val="none" w:sz="0" w:space="0" w:color="auto"/>
                        <w:bottom w:val="none" w:sz="0" w:space="0" w:color="auto"/>
                        <w:right w:val="none" w:sz="0" w:space="0" w:color="auto"/>
                      </w:divBdr>
                    </w:div>
                    <w:div w:id="1616450390">
                      <w:marLeft w:val="0"/>
                      <w:marRight w:val="0"/>
                      <w:marTop w:val="0"/>
                      <w:marBottom w:val="0"/>
                      <w:divBdr>
                        <w:top w:val="none" w:sz="0" w:space="0" w:color="auto"/>
                        <w:left w:val="none" w:sz="0" w:space="0" w:color="auto"/>
                        <w:bottom w:val="none" w:sz="0" w:space="0" w:color="auto"/>
                        <w:right w:val="none" w:sz="0" w:space="0" w:color="auto"/>
                      </w:divBdr>
                      <w:divsChild>
                        <w:div w:id="1952279122">
                          <w:marLeft w:val="0"/>
                          <w:marRight w:val="0"/>
                          <w:marTop w:val="0"/>
                          <w:marBottom w:val="0"/>
                          <w:divBdr>
                            <w:top w:val="none" w:sz="0" w:space="0" w:color="auto"/>
                            <w:left w:val="none" w:sz="0" w:space="0" w:color="auto"/>
                            <w:bottom w:val="none" w:sz="0" w:space="0" w:color="auto"/>
                            <w:right w:val="none" w:sz="0" w:space="0" w:color="auto"/>
                          </w:divBdr>
                        </w:div>
                        <w:div w:id="213490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0287381">
      <w:bodyDiv w:val="1"/>
      <w:marLeft w:val="0"/>
      <w:marRight w:val="0"/>
      <w:marTop w:val="0"/>
      <w:marBottom w:val="0"/>
      <w:divBdr>
        <w:top w:val="none" w:sz="0" w:space="0" w:color="auto"/>
        <w:left w:val="none" w:sz="0" w:space="0" w:color="auto"/>
        <w:bottom w:val="none" w:sz="0" w:space="0" w:color="auto"/>
        <w:right w:val="none" w:sz="0" w:space="0" w:color="auto"/>
      </w:divBdr>
      <w:divsChild>
        <w:div w:id="266501888">
          <w:marLeft w:val="0"/>
          <w:marRight w:val="0"/>
          <w:marTop w:val="0"/>
          <w:marBottom w:val="0"/>
          <w:divBdr>
            <w:top w:val="none" w:sz="0" w:space="0" w:color="auto"/>
            <w:left w:val="none" w:sz="0" w:space="0" w:color="auto"/>
            <w:bottom w:val="none" w:sz="0" w:space="0" w:color="auto"/>
            <w:right w:val="none" w:sz="0" w:space="0" w:color="auto"/>
          </w:divBdr>
        </w:div>
        <w:div w:id="1255212193">
          <w:marLeft w:val="0"/>
          <w:marRight w:val="0"/>
          <w:marTop w:val="0"/>
          <w:marBottom w:val="0"/>
          <w:divBdr>
            <w:top w:val="none" w:sz="0" w:space="0" w:color="auto"/>
            <w:left w:val="none" w:sz="0" w:space="0" w:color="auto"/>
            <w:bottom w:val="none" w:sz="0" w:space="0" w:color="auto"/>
            <w:right w:val="none" w:sz="0" w:space="0" w:color="auto"/>
          </w:divBdr>
        </w:div>
        <w:div w:id="1591811470">
          <w:marLeft w:val="0"/>
          <w:marRight w:val="0"/>
          <w:marTop w:val="0"/>
          <w:marBottom w:val="0"/>
          <w:divBdr>
            <w:top w:val="none" w:sz="0" w:space="0" w:color="auto"/>
            <w:left w:val="none" w:sz="0" w:space="0" w:color="auto"/>
            <w:bottom w:val="none" w:sz="0" w:space="0" w:color="auto"/>
            <w:right w:val="none" w:sz="0" w:space="0" w:color="auto"/>
          </w:divBdr>
        </w:div>
        <w:div w:id="1809936771">
          <w:marLeft w:val="0"/>
          <w:marRight w:val="0"/>
          <w:marTop w:val="0"/>
          <w:marBottom w:val="0"/>
          <w:divBdr>
            <w:top w:val="none" w:sz="0" w:space="0" w:color="auto"/>
            <w:left w:val="none" w:sz="0" w:space="0" w:color="auto"/>
            <w:bottom w:val="none" w:sz="0" w:space="0" w:color="auto"/>
            <w:right w:val="none" w:sz="0" w:space="0" w:color="auto"/>
          </w:divBdr>
        </w:div>
      </w:divsChild>
    </w:div>
    <w:div w:id="1875188611">
      <w:bodyDiv w:val="1"/>
      <w:marLeft w:val="0"/>
      <w:marRight w:val="0"/>
      <w:marTop w:val="0"/>
      <w:marBottom w:val="0"/>
      <w:divBdr>
        <w:top w:val="none" w:sz="0" w:space="0" w:color="auto"/>
        <w:left w:val="none" w:sz="0" w:space="0" w:color="auto"/>
        <w:bottom w:val="none" w:sz="0" w:space="0" w:color="auto"/>
        <w:right w:val="none" w:sz="0" w:space="0" w:color="auto"/>
      </w:divBdr>
      <w:divsChild>
        <w:div w:id="337271338">
          <w:marLeft w:val="0"/>
          <w:marRight w:val="0"/>
          <w:marTop w:val="0"/>
          <w:marBottom w:val="0"/>
          <w:divBdr>
            <w:top w:val="none" w:sz="0" w:space="0" w:color="auto"/>
            <w:left w:val="none" w:sz="0" w:space="0" w:color="auto"/>
            <w:bottom w:val="none" w:sz="0" w:space="0" w:color="auto"/>
            <w:right w:val="none" w:sz="0" w:space="0" w:color="auto"/>
          </w:divBdr>
        </w:div>
        <w:div w:id="460652787">
          <w:marLeft w:val="0"/>
          <w:marRight w:val="0"/>
          <w:marTop w:val="0"/>
          <w:marBottom w:val="0"/>
          <w:divBdr>
            <w:top w:val="none" w:sz="0" w:space="0" w:color="auto"/>
            <w:left w:val="none" w:sz="0" w:space="0" w:color="auto"/>
            <w:bottom w:val="none" w:sz="0" w:space="0" w:color="auto"/>
            <w:right w:val="none" w:sz="0" w:space="0" w:color="auto"/>
          </w:divBdr>
        </w:div>
      </w:divsChild>
    </w:div>
    <w:div w:id="1891183056">
      <w:bodyDiv w:val="1"/>
      <w:marLeft w:val="0"/>
      <w:marRight w:val="0"/>
      <w:marTop w:val="0"/>
      <w:marBottom w:val="0"/>
      <w:divBdr>
        <w:top w:val="none" w:sz="0" w:space="0" w:color="auto"/>
        <w:left w:val="none" w:sz="0" w:space="0" w:color="auto"/>
        <w:bottom w:val="none" w:sz="0" w:space="0" w:color="auto"/>
        <w:right w:val="none" w:sz="0" w:space="0" w:color="auto"/>
      </w:divBdr>
    </w:div>
    <w:div w:id="1905220230">
      <w:bodyDiv w:val="1"/>
      <w:marLeft w:val="0"/>
      <w:marRight w:val="0"/>
      <w:marTop w:val="0"/>
      <w:marBottom w:val="0"/>
      <w:divBdr>
        <w:top w:val="none" w:sz="0" w:space="0" w:color="auto"/>
        <w:left w:val="none" w:sz="0" w:space="0" w:color="auto"/>
        <w:bottom w:val="none" w:sz="0" w:space="0" w:color="auto"/>
        <w:right w:val="none" w:sz="0" w:space="0" w:color="auto"/>
      </w:divBdr>
    </w:div>
    <w:div w:id="1933932007">
      <w:bodyDiv w:val="1"/>
      <w:marLeft w:val="0"/>
      <w:marRight w:val="0"/>
      <w:marTop w:val="0"/>
      <w:marBottom w:val="0"/>
      <w:divBdr>
        <w:top w:val="none" w:sz="0" w:space="0" w:color="auto"/>
        <w:left w:val="none" w:sz="0" w:space="0" w:color="auto"/>
        <w:bottom w:val="none" w:sz="0" w:space="0" w:color="auto"/>
        <w:right w:val="none" w:sz="0" w:space="0" w:color="auto"/>
      </w:divBdr>
      <w:divsChild>
        <w:div w:id="332992583">
          <w:marLeft w:val="0"/>
          <w:marRight w:val="0"/>
          <w:marTop w:val="0"/>
          <w:marBottom w:val="0"/>
          <w:divBdr>
            <w:top w:val="none" w:sz="0" w:space="0" w:color="auto"/>
            <w:left w:val="none" w:sz="0" w:space="0" w:color="auto"/>
            <w:bottom w:val="none" w:sz="0" w:space="0" w:color="auto"/>
            <w:right w:val="none" w:sz="0" w:space="0" w:color="auto"/>
          </w:divBdr>
          <w:divsChild>
            <w:div w:id="194276430">
              <w:marLeft w:val="0"/>
              <w:marRight w:val="0"/>
              <w:marTop w:val="0"/>
              <w:marBottom w:val="0"/>
              <w:divBdr>
                <w:top w:val="none" w:sz="0" w:space="0" w:color="auto"/>
                <w:left w:val="none" w:sz="0" w:space="0" w:color="auto"/>
                <w:bottom w:val="none" w:sz="0" w:space="0" w:color="auto"/>
                <w:right w:val="none" w:sz="0" w:space="0" w:color="auto"/>
              </w:divBdr>
              <w:divsChild>
                <w:div w:id="85400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788699">
      <w:bodyDiv w:val="1"/>
      <w:marLeft w:val="0"/>
      <w:marRight w:val="0"/>
      <w:marTop w:val="0"/>
      <w:marBottom w:val="0"/>
      <w:divBdr>
        <w:top w:val="none" w:sz="0" w:space="0" w:color="auto"/>
        <w:left w:val="none" w:sz="0" w:space="0" w:color="auto"/>
        <w:bottom w:val="none" w:sz="0" w:space="0" w:color="auto"/>
        <w:right w:val="none" w:sz="0" w:space="0" w:color="auto"/>
      </w:divBdr>
      <w:divsChild>
        <w:div w:id="240062842">
          <w:marLeft w:val="0"/>
          <w:marRight w:val="0"/>
          <w:marTop w:val="0"/>
          <w:marBottom w:val="0"/>
          <w:divBdr>
            <w:top w:val="none" w:sz="0" w:space="0" w:color="auto"/>
            <w:left w:val="none" w:sz="0" w:space="0" w:color="auto"/>
            <w:bottom w:val="none" w:sz="0" w:space="0" w:color="auto"/>
            <w:right w:val="none" w:sz="0" w:space="0" w:color="auto"/>
          </w:divBdr>
        </w:div>
        <w:div w:id="829949601">
          <w:marLeft w:val="0"/>
          <w:marRight w:val="0"/>
          <w:marTop w:val="0"/>
          <w:marBottom w:val="0"/>
          <w:divBdr>
            <w:top w:val="none" w:sz="0" w:space="0" w:color="auto"/>
            <w:left w:val="none" w:sz="0" w:space="0" w:color="auto"/>
            <w:bottom w:val="none" w:sz="0" w:space="0" w:color="auto"/>
            <w:right w:val="none" w:sz="0" w:space="0" w:color="auto"/>
          </w:divBdr>
        </w:div>
        <w:div w:id="1031686502">
          <w:marLeft w:val="0"/>
          <w:marRight w:val="0"/>
          <w:marTop w:val="0"/>
          <w:marBottom w:val="0"/>
          <w:divBdr>
            <w:top w:val="none" w:sz="0" w:space="0" w:color="auto"/>
            <w:left w:val="none" w:sz="0" w:space="0" w:color="auto"/>
            <w:bottom w:val="none" w:sz="0" w:space="0" w:color="auto"/>
            <w:right w:val="none" w:sz="0" w:space="0" w:color="auto"/>
          </w:divBdr>
        </w:div>
        <w:div w:id="1460756705">
          <w:marLeft w:val="0"/>
          <w:marRight w:val="0"/>
          <w:marTop w:val="0"/>
          <w:marBottom w:val="0"/>
          <w:divBdr>
            <w:top w:val="none" w:sz="0" w:space="0" w:color="auto"/>
            <w:left w:val="none" w:sz="0" w:space="0" w:color="auto"/>
            <w:bottom w:val="none" w:sz="0" w:space="0" w:color="auto"/>
            <w:right w:val="none" w:sz="0" w:space="0" w:color="auto"/>
          </w:divBdr>
        </w:div>
        <w:div w:id="1561669978">
          <w:marLeft w:val="0"/>
          <w:marRight w:val="0"/>
          <w:marTop w:val="0"/>
          <w:marBottom w:val="0"/>
          <w:divBdr>
            <w:top w:val="none" w:sz="0" w:space="0" w:color="auto"/>
            <w:left w:val="none" w:sz="0" w:space="0" w:color="auto"/>
            <w:bottom w:val="none" w:sz="0" w:space="0" w:color="auto"/>
            <w:right w:val="none" w:sz="0" w:space="0" w:color="auto"/>
          </w:divBdr>
        </w:div>
        <w:div w:id="1649821705">
          <w:marLeft w:val="0"/>
          <w:marRight w:val="0"/>
          <w:marTop w:val="0"/>
          <w:marBottom w:val="0"/>
          <w:divBdr>
            <w:top w:val="none" w:sz="0" w:space="0" w:color="auto"/>
            <w:left w:val="none" w:sz="0" w:space="0" w:color="auto"/>
            <w:bottom w:val="none" w:sz="0" w:space="0" w:color="auto"/>
            <w:right w:val="none" w:sz="0" w:space="0" w:color="auto"/>
          </w:divBdr>
        </w:div>
        <w:div w:id="1707633256">
          <w:marLeft w:val="0"/>
          <w:marRight w:val="0"/>
          <w:marTop w:val="0"/>
          <w:marBottom w:val="0"/>
          <w:divBdr>
            <w:top w:val="none" w:sz="0" w:space="0" w:color="auto"/>
            <w:left w:val="none" w:sz="0" w:space="0" w:color="auto"/>
            <w:bottom w:val="none" w:sz="0" w:space="0" w:color="auto"/>
            <w:right w:val="none" w:sz="0" w:space="0" w:color="auto"/>
          </w:divBdr>
        </w:div>
        <w:div w:id="2145657460">
          <w:marLeft w:val="0"/>
          <w:marRight w:val="0"/>
          <w:marTop w:val="0"/>
          <w:marBottom w:val="0"/>
          <w:divBdr>
            <w:top w:val="none" w:sz="0" w:space="0" w:color="auto"/>
            <w:left w:val="none" w:sz="0" w:space="0" w:color="auto"/>
            <w:bottom w:val="none" w:sz="0" w:space="0" w:color="auto"/>
            <w:right w:val="none" w:sz="0" w:space="0" w:color="auto"/>
          </w:divBdr>
        </w:div>
      </w:divsChild>
    </w:div>
    <w:div w:id="1940521028">
      <w:bodyDiv w:val="1"/>
      <w:marLeft w:val="0"/>
      <w:marRight w:val="0"/>
      <w:marTop w:val="0"/>
      <w:marBottom w:val="0"/>
      <w:divBdr>
        <w:top w:val="none" w:sz="0" w:space="0" w:color="auto"/>
        <w:left w:val="none" w:sz="0" w:space="0" w:color="auto"/>
        <w:bottom w:val="none" w:sz="0" w:space="0" w:color="auto"/>
        <w:right w:val="none" w:sz="0" w:space="0" w:color="auto"/>
      </w:divBdr>
    </w:div>
    <w:div w:id="1940675740">
      <w:bodyDiv w:val="1"/>
      <w:marLeft w:val="0"/>
      <w:marRight w:val="0"/>
      <w:marTop w:val="0"/>
      <w:marBottom w:val="0"/>
      <w:divBdr>
        <w:top w:val="none" w:sz="0" w:space="0" w:color="auto"/>
        <w:left w:val="none" w:sz="0" w:space="0" w:color="auto"/>
        <w:bottom w:val="none" w:sz="0" w:space="0" w:color="auto"/>
        <w:right w:val="none" w:sz="0" w:space="0" w:color="auto"/>
      </w:divBdr>
      <w:divsChild>
        <w:div w:id="315450405">
          <w:marLeft w:val="0"/>
          <w:marRight w:val="0"/>
          <w:marTop w:val="0"/>
          <w:marBottom w:val="0"/>
          <w:divBdr>
            <w:top w:val="none" w:sz="0" w:space="0" w:color="auto"/>
            <w:left w:val="none" w:sz="0" w:space="0" w:color="auto"/>
            <w:bottom w:val="none" w:sz="0" w:space="0" w:color="auto"/>
            <w:right w:val="none" w:sz="0" w:space="0" w:color="auto"/>
          </w:divBdr>
        </w:div>
        <w:div w:id="918978052">
          <w:marLeft w:val="0"/>
          <w:marRight w:val="0"/>
          <w:marTop w:val="0"/>
          <w:marBottom w:val="0"/>
          <w:divBdr>
            <w:top w:val="none" w:sz="0" w:space="0" w:color="auto"/>
            <w:left w:val="none" w:sz="0" w:space="0" w:color="auto"/>
            <w:bottom w:val="none" w:sz="0" w:space="0" w:color="auto"/>
            <w:right w:val="none" w:sz="0" w:space="0" w:color="auto"/>
          </w:divBdr>
        </w:div>
        <w:div w:id="1127167145">
          <w:marLeft w:val="0"/>
          <w:marRight w:val="0"/>
          <w:marTop w:val="0"/>
          <w:marBottom w:val="0"/>
          <w:divBdr>
            <w:top w:val="none" w:sz="0" w:space="0" w:color="auto"/>
            <w:left w:val="none" w:sz="0" w:space="0" w:color="auto"/>
            <w:bottom w:val="none" w:sz="0" w:space="0" w:color="auto"/>
            <w:right w:val="none" w:sz="0" w:space="0" w:color="auto"/>
          </w:divBdr>
        </w:div>
        <w:div w:id="1463498151">
          <w:marLeft w:val="0"/>
          <w:marRight w:val="0"/>
          <w:marTop w:val="0"/>
          <w:marBottom w:val="0"/>
          <w:divBdr>
            <w:top w:val="none" w:sz="0" w:space="0" w:color="auto"/>
            <w:left w:val="none" w:sz="0" w:space="0" w:color="auto"/>
            <w:bottom w:val="none" w:sz="0" w:space="0" w:color="auto"/>
            <w:right w:val="none" w:sz="0" w:space="0" w:color="auto"/>
          </w:divBdr>
        </w:div>
        <w:div w:id="1470442612">
          <w:marLeft w:val="0"/>
          <w:marRight w:val="0"/>
          <w:marTop w:val="0"/>
          <w:marBottom w:val="0"/>
          <w:divBdr>
            <w:top w:val="none" w:sz="0" w:space="0" w:color="auto"/>
            <w:left w:val="none" w:sz="0" w:space="0" w:color="auto"/>
            <w:bottom w:val="none" w:sz="0" w:space="0" w:color="auto"/>
            <w:right w:val="none" w:sz="0" w:space="0" w:color="auto"/>
          </w:divBdr>
        </w:div>
        <w:div w:id="2055226658">
          <w:marLeft w:val="0"/>
          <w:marRight w:val="0"/>
          <w:marTop w:val="0"/>
          <w:marBottom w:val="0"/>
          <w:divBdr>
            <w:top w:val="none" w:sz="0" w:space="0" w:color="auto"/>
            <w:left w:val="none" w:sz="0" w:space="0" w:color="auto"/>
            <w:bottom w:val="none" w:sz="0" w:space="0" w:color="auto"/>
            <w:right w:val="none" w:sz="0" w:space="0" w:color="auto"/>
          </w:divBdr>
        </w:div>
        <w:div w:id="2090762169">
          <w:marLeft w:val="0"/>
          <w:marRight w:val="0"/>
          <w:marTop w:val="0"/>
          <w:marBottom w:val="0"/>
          <w:divBdr>
            <w:top w:val="none" w:sz="0" w:space="0" w:color="auto"/>
            <w:left w:val="none" w:sz="0" w:space="0" w:color="auto"/>
            <w:bottom w:val="none" w:sz="0" w:space="0" w:color="auto"/>
            <w:right w:val="none" w:sz="0" w:space="0" w:color="auto"/>
          </w:divBdr>
        </w:div>
      </w:divsChild>
    </w:div>
    <w:div w:id="1954441088">
      <w:bodyDiv w:val="1"/>
      <w:marLeft w:val="0"/>
      <w:marRight w:val="0"/>
      <w:marTop w:val="0"/>
      <w:marBottom w:val="0"/>
      <w:divBdr>
        <w:top w:val="none" w:sz="0" w:space="0" w:color="auto"/>
        <w:left w:val="none" w:sz="0" w:space="0" w:color="auto"/>
        <w:bottom w:val="none" w:sz="0" w:space="0" w:color="auto"/>
        <w:right w:val="none" w:sz="0" w:space="0" w:color="auto"/>
      </w:divBdr>
      <w:divsChild>
        <w:div w:id="761801460">
          <w:marLeft w:val="0"/>
          <w:marRight w:val="0"/>
          <w:marTop w:val="0"/>
          <w:marBottom w:val="0"/>
          <w:divBdr>
            <w:top w:val="none" w:sz="0" w:space="0" w:color="auto"/>
            <w:left w:val="none" w:sz="0" w:space="0" w:color="auto"/>
            <w:bottom w:val="none" w:sz="0" w:space="0" w:color="auto"/>
            <w:right w:val="none" w:sz="0" w:space="0" w:color="auto"/>
          </w:divBdr>
          <w:divsChild>
            <w:div w:id="1578976409">
              <w:marLeft w:val="0"/>
              <w:marRight w:val="0"/>
              <w:marTop w:val="0"/>
              <w:marBottom w:val="0"/>
              <w:divBdr>
                <w:top w:val="none" w:sz="0" w:space="0" w:color="auto"/>
                <w:left w:val="none" w:sz="0" w:space="0" w:color="auto"/>
                <w:bottom w:val="none" w:sz="0" w:space="0" w:color="auto"/>
                <w:right w:val="none" w:sz="0" w:space="0" w:color="auto"/>
              </w:divBdr>
              <w:divsChild>
                <w:div w:id="16905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435196">
      <w:bodyDiv w:val="1"/>
      <w:marLeft w:val="0"/>
      <w:marRight w:val="0"/>
      <w:marTop w:val="0"/>
      <w:marBottom w:val="0"/>
      <w:divBdr>
        <w:top w:val="none" w:sz="0" w:space="0" w:color="auto"/>
        <w:left w:val="none" w:sz="0" w:space="0" w:color="auto"/>
        <w:bottom w:val="none" w:sz="0" w:space="0" w:color="auto"/>
        <w:right w:val="none" w:sz="0" w:space="0" w:color="auto"/>
      </w:divBdr>
      <w:divsChild>
        <w:div w:id="490369645">
          <w:marLeft w:val="1166"/>
          <w:marRight w:val="0"/>
          <w:marTop w:val="86"/>
          <w:marBottom w:val="0"/>
          <w:divBdr>
            <w:top w:val="none" w:sz="0" w:space="0" w:color="auto"/>
            <w:left w:val="none" w:sz="0" w:space="0" w:color="auto"/>
            <w:bottom w:val="none" w:sz="0" w:space="0" w:color="auto"/>
            <w:right w:val="none" w:sz="0" w:space="0" w:color="auto"/>
          </w:divBdr>
        </w:div>
        <w:div w:id="773475710">
          <w:marLeft w:val="1166"/>
          <w:marRight w:val="0"/>
          <w:marTop w:val="86"/>
          <w:marBottom w:val="0"/>
          <w:divBdr>
            <w:top w:val="none" w:sz="0" w:space="0" w:color="auto"/>
            <w:left w:val="none" w:sz="0" w:space="0" w:color="auto"/>
            <w:bottom w:val="none" w:sz="0" w:space="0" w:color="auto"/>
            <w:right w:val="none" w:sz="0" w:space="0" w:color="auto"/>
          </w:divBdr>
        </w:div>
        <w:div w:id="1324089681">
          <w:marLeft w:val="547"/>
          <w:marRight w:val="0"/>
          <w:marTop w:val="96"/>
          <w:marBottom w:val="0"/>
          <w:divBdr>
            <w:top w:val="none" w:sz="0" w:space="0" w:color="auto"/>
            <w:left w:val="none" w:sz="0" w:space="0" w:color="auto"/>
            <w:bottom w:val="none" w:sz="0" w:space="0" w:color="auto"/>
            <w:right w:val="none" w:sz="0" w:space="0" w:color="auto"/>
          </w:divBdr>
        </w:div>
      </w:divsChild>
    </w:div>
    <w:div w:id="1981569316">
      <w:bodyDiv w:val="1"/>
      <w:marLeft w:val="0"/>
      <w:marRight w:val="0"/>
      <w:marTop w:val="0"/>
      <w:marBottom w:val="0"/>
      <w:divBdr>
        <w:top w:val="none" w:sz="0" w:space="0" w:color="auto"/>
        <w:left w:val="none" w:sz="0" w:space="0" w:color="auto"/>
        <w:bottom w:val="none" w:sz="0" w:space="0" w:color="auto"/>
        <w:right w:val="none" w:sz="0" w:space="0" w:color="auto"/>
      </w:divBdr>
      <w:divsChild>
        <w:div w:id="888229046">
          <w:marLeft w:val="0"/>
          <w:marRight w:val="0"/>
          <w:marTop w:val="0"/>
          <w:marBottom w:val="0"/>
          <w:divBdr>
            <w:top w:val="none" w:sz="0" w:space="0" w:color="auto"/>
            <w:left w:val="none" w:sz="0" w:space="0" w:color="auto"/>
            <w:bottom w:val="none" w:sz="0" w:space="0" w:color="auto"/>
            <w:right w:val="none" w:sz="0" w:space="0" w:color="auto"/>
          </w:divBdr>
          <w:divsChild>
            <w:div w:id="1389836093">
              <w:marLeft w:val="0"/>
              <w:marRight w:val="0"/>
              <w:marTop w:val="0"/>
              <w:marBottom w:val="0"/>
              <w:divBdr>
                <w:top w:val="none" w:sz="0" w:space="0" w:color="auto"/>
                <w:left w:val="none" w:sz="0" w:space="0" w:color="auto"/>
                <w:bottom w:val="none" w:sz="0" w:space="0" w:color="auto"/>
                <w:right w:val="none" w:sz="0" w:space="0" w:color="auto"/>
              </w:divBdr>
              <w:divsChild>
                <w:div w:id="726492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82639">
      <w:bodyDiv w:val="1"/>
      <w:marLeft w:val="0"/>
      <w:marRight w:val="0"/>
      <w:marTop w:val="0"/>
      <w:marBottom w:val="0"/>
      <w:divBdr>
        <w:top w:val="none" w:sz="0" w:space="0" w:color="auto"/>
        <w:left w:val="none" w:sz="0" w:space="0" w:color="auto"/>
        <w:bottom w:val="none" w:sz="0" w:space="0" w:color="auto"/>
        <w:right w:val="none" w:sz="0" w:space="0" w:color="auto"/>
      </w:divBdr>
      <w:divsChild>
        <w:div w:id="143666466">
          <w:marLeft w:val="0"/>
          <w:marRight w:val="0"/>
          <w:marTop w:val="0"/>
          <w:marBottom w:val="0"/>
          <w:divBdr>
            <w:top w:val="none" w:sz="0" w:space="0" w:color="auto"/>
            <w:left w:val="none" w:sz="0" w:space="0" w:color="auto"/>
            <w:bottom w:val="none" w:sz="0" w:space="0" w:color="auto"/>
            <w:right w:val="none" w:sz="0" w:space="0" w:color="auto"/>
          </w:divBdr>
        </w:div>
        <w:div w:id="209193148">
          <w:marLeft w:val="0"/>
          <w:marRight w:val="0"/>
          <w:marTop w:val="0"/>
          <w:marBottom w:val="0"/>
          <w:divBdr>
            <w:top w:val="none" w:sz="0" w:space="0" w:color="auto"/>
            <w:left w:val="none" w:sz="0" w:space="0" w:color="auto"/>
            <w:bottom w:val="none" w:sz="0" w:space="0" w:color="auto"/>
            <w:right w:val="none" w:sz="0" w:space="0" w:color="auto"/>
          </w:divBdr>
        </w:div>
        <w:div w:id="354426612">
          <w:marLeft w:val="0"/>
          <w:marRight w:val="0"/>
          <w:marTop w:val="0"/>
          <w:marBottom w:val="0"/>
          <w:divBdr>
            <w:top w:val="none" w:sz="0" w:space="0" w:color="auto"/>
            <w:left w:val="none" w:sz="0" w:space="0" w:color="auto"/>
            <w:bottom w:val="none" w:sz="0" w:space="0" w:color="auto"/>
            <w:right w:val="none" w:sz="0" w:space="0" w:color="auto"/>
          </w:divBdr>
        </w:div>
        <w:div w:id="505480849">
          <w:marLeft w:val="0"/>
          <w:marRight w:val="0"/>
          <w:marTop w:val="0"/>
          <w:marBottom w:val="0"/>
          <w:divBdr>
            <w:top w:val="none" w:sz="0" w:space="0" w:color="auto"/>
            <w:left w:val="none" w:sz="0" w:space="0" w:color="auto"/>
            <w:bottom w:val="none" w:sz="0" w:space="0" w:color="auto"/>
            <w:right w:val="none" w:sz="0" w:space="0" w:color="auto"/>
          </w:divBdr>
        </w:div>
        <w:div w:id="1415394674">
          <w:marLeft w:val="0"/>
          <w:marRight w:val="0"/>
          <w:marTop w:val="0"/>
          <w:marBottom w:val="0"/>
          <w:divBdr>
            <w:top w:val="none" w:sz="0" w:space="0" w:color="auto"/>
            <w:left w:val="none" w:sz="0" w:space="0" w:color="auto"/>
            <w:bottom w:val="none" w:sz="0" w:space="0" w:color="auto"/>
            <w:right w:val="none" w:sz="0" w:space="0" w:color="auto"/>
          </w:divBdr>
        </w:div>
        <w:div w:id="1943101407">
          <w:marLeft w:val="0"/>
          <w:marRight w:val="0"/>
          <w:marTop w:val="0"/>
          <w:marBottom w:val="0"/>
          <w:divBdr>
            <w:top w:val="none" w:sz="0" w:space="0" w:color="auto"/>
            <w:left w:val="none" w:sz="0" w:space="0" w:color="auto"/>
            <w:bottom w:val="none" w:sz="0" w:space="0" w:color="auto"/>
            <w:right w:val="none" w:sz="0" w:space="0" w:color="auto"/>
          </w:divBdr>
        </w:div>
        <w:div w:id="2136368027">
          <w:marLeft w:val="0"/>
          <w:marRight w:val="0"/>
          <w:marTop w:val="0"/>
          <w:marBottom w:val="0"/>
          <w:divBdr>
            <w:top w:val="none" w:sz="0" w:space="0" w:color="auto"/>
            <w:left w:val="none" w:sz="0" w:space="0" w:color="auto"/>
            <w:bottom w:val="none" w:sz="0" w:space="0" w:color="auto"/>
            <w:right w:val="none" w:sz="0" w:space="0" w:color="auto"/>
          </w:divBdr>
        </w:div>
      </w:divsChild>
    </w:div>
    <w:div w:id="2012175955">
      <w:bodyDiv w:val="1"/>
      <w:marLeft w:val="0"/>
      <w:marRight w:val="0"/>
      <w:marTop w:val="0"/>
      <w:marBottom w:val="0"/>
      <w:divBdr>
        <w:top w:val="none" w:sz="0" w:space="0" w:color="auto"/>
        <w:left w:val="none" w:sz="0" w:space="0" w:color="auto"/>
        <w:bottom w:val="none" w:sz="0" w:space="0" w:color="auto"/>
        <w:right w:val="none" w:sz="0" w:space="0" w:color="auto"/>
      </w:divBdr>
      <w:divsChild>
        <w:div w:id="443693353">
          <w:marLeft w:val="0"/>
          <w:marRight w:val="0"/>
          <w:marTop w:val="0"/>
          <w:marBottom w:val="0"/>
          <w:divBdr>
            <w:top w:val="none" w:sz="0" w:space="0" w:color="auto"/>
            <w:left w:val="none" w:sz="0" w:space="0" w:color="auto"/>
            <w:bottom w:val="none" w:sz="0" w:space="0" w:color="auto"/>
            <w:right w:val="none" w:sz="0" w:space="0" w:color="auto"/>
          </w:divBdr>
          <w:divsChild>
            <w:div w:id="875776346">
              <w:marLeft w:val="0"/>
              <w:marRight w:val="0"/>
              <w:marTop w:val="0"/>
              <w:marBottom w:val="0"/>
              <w:divBdr>
                <w:top w:val="none" w:sz="0" w:space="0" w:color="auto"/>
                <w:left w:val="none" w:sz="0" w:space="0" w:color="auto"/>
                <w:bottom w:val="none" w:sz="0" w:space="0" w:color="auto"/>
                <w:right w:val="none" w:sz="0" w:space="0" w:color="auto"/>
              </w:divBdr>
              <w:divsChild>
                <w:div w:id="8160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3436">
      <w:bodyDiv w:val="1"/>
      <w:marLeft w:val="0"/>
      <w:marRight w:val="0"/>
      <w:marTop w:val="0"/>
      <w:marBottom w:val="0"/>
      <w:divBdr>
        <w:top w:val="none" w:sz="0" w:space="0" w:color="auto"/>
        <w:left w:val="none" w:sz="0" w:space="0" w:color="auto"/>
        <w:bottom w:val="none" w:sz="0" w:space="0" w:color="auto"/>
        <w:right w:val="none" w:sz="0" w:space="0" w:color="auto"/>
      </w:divBdr>
      <w:divsChild>
        <w:div w:id="498271527">
          <w:marLeft w:val="0"/>
          <w:marRight w:val="0"/>
          <w:marTop w:val="0"/>
          <w:marBottom w:val="0"/>
          <w:divBdr>
            <w:top w:val="none" w:sz="0" w:space="0" w:color="auto"/>
            <w:left w:val="none" w:sz="0" w:space="0" w:color="auto"/>
            <w:bottom w:val="none" w:sz="0" w:space="0" w:color="auto"/>
            <w:right w:val="none" w:sz="0" w:space="0" w:color="auto"/>
          </w:divBdr>
        </w:div>
        <w:div w:id="1045328556">
          <w:marLeft w:val="0"/>
          <w:marRight w:val="0"/>
          <w:marTop w:val="0"/>
          <w:marBottom w:val="0"/>
          <w:divBdr>
            <w:top w:val="none" w:sz="0" w:space="0" w:color="auto"/>
            <w:left w:val="none" w:sz="0" w:space="0" w:color="auto"/>
            <w:bottom w:val="none" w:sz="0" w:space="0" w:color="auto"/>
            <w:right w:val="none" w:sz="0" w:space="0" w:color="auto"/>
          </w:divBdr>
        </w:div>
        <w:div w:id="1423724086">
          <w:marLeft w:val="0"/>
          <w:marRight w:val="0"/>
          <w:marTop w:val="0"/>
          <w:marBottom w:val="0"/>
          <w:divBdr>
            <w:top w:val="none" w:sz="0" w:space="0" w:color="auto"/>
            <w:left w:val="none" w:sz="0" w:space="0" w:color="auto"/>
            <w:bottom w:val="none" w:sz="0" w:space="0" w:color="auto"/>
            <w:right w:val="none" w:sz="0" w:space="0" w:color="auto"/>
          </w:divBdr>
        </w:div>
        <w:div w:id="1683773125">
          <w:marLeft w:val="0"/>
          <w:marRight w:val="0"/>
          <w:marTop w:val="0"/>
          <w:marBottom w:val="0"/>
          <w:divBdr>
            <w:top w:val="none" w:sz="0" w:space="0" w:color="auto"/>
            <w:left w:val="none" w:sz="0" w:space="0" w:color="auto"/>
            <w:bottom w:val="none" w:sz="0" w:space="0" w:color="auto"/>
            <w:right w:val="none" w:sz="0" w:space="0" w:color="auto"/>
          </w:divBdr>
        </w:div>
      </w:divsChild>
    </w:div>
    <w:div w:id="2024475038">
      <w:bodyDiv w:val="1"/>
      <w:marLeft w:val="0"/>
      <w:marRight w:val="0"/>
      <w:marTop w:val="0"/>
      <w:marBottom w:val="0"/>
      <w:divBdr>
        <w:top w:val="none" w:sz="0" w:space="0" w:color="auto"/>
        <w:left w:val="none" w:sz="0" w:space="0" w:color="auto"/>
        <w:bottom w:val="none" w:sz="0" w:space="0" w:color="auto"/>
        <w:right w:val="none" w:sz="0" w:space="0" w:color="auto"/>
      </w:divBdr>
    </w:div>
    <w:div w:id="2043821620">
      <w:bodyDiv w:val="1"/>
      <w:marLeft w:val="0"/>
      <w:marRight w:val="0"/>
      <w:marTop w:val="0"/>
      <w:marBottom w:val="0"/>
      <w:divBdr>
        <w:top w:val="none" w:sz="0" w:space="0" w:color="auto"/>
        <w:left w:val="none" w:sz="0" w:space="0" w:color="auto"/>
        <w:bottom w:val="none" w:sz="0" w:space="0" w:color="auto"/>
        <w:right w:val="none" w:sz="0" w:space="0" w:color="auto"/>
      </w:divBdr>
      <w:divsChild>
        <w:div w:id="430661785">
          <w:marLeft w:val="0"/>
          <w:marRight w:val="0"/>
          <w:marTop w:val="0"/>
          <w:marBottom w:val="0"/>
          <w:divBdr>
            <w:top w:val="none" w:sz="0" w:space="0" w:color="auto"/>
            <w:left w:val="none" w:sz="0" w:space="0" w:color="auto"/>
            <w:bottom w:val="none" w:sz="0" w:space="0" w:color="auto"/>
            <w:right w:val="none" w:sz="0" w:space="0" w:color="auto"/>
          </w:divBdr>
          <w:divsChild>
            <w:div w:id="201670671">
              <w:marLeft w:val="0"/>
              <w:marRight w:val="0"/>
              <w:marTop w:val="0"/>
              <w:marBottom w:val="0"/>
              <w:divBdr>
                <w:top w:val="none" w:sz="0" w:space="0" w:color="auto"/>
                <w:left w:val="none" w:sz="0" w:space="0" w:color="auto"/>
                <w:bottom w:val="none" w:sz="0" w:space="0" w:color="auto"/>
                <w:right w:val="none" w:sz="0" w:space="0" w:color="auto"/>
              </w:divBdr>
              <w:divsChild>
                <w:div w:id="1404567719">
                  <w:marLeft w:val="0"/>
                  <w:marRight w:val="0"/>
                  <w:marTop w:val="0"/>
                  <w:marBottom w:val="0"/>
                  <w:divBdr>
                    <w:top w:val="none" w:sz="0" w:space="0" w:color="auto"/>
                    <w:left w:val="none" w:sz="0" w:space="0" w:color="auto"/>
                    <w:bottom w:val="none" w:sz="0" w:space="0" w:color="auto"/>
                    <w:right w:val="none" w:sz="0" w:space="0" w:color="auto"/>
                  </w:divBdr>
                </w:div>
              </w:divsChild>
            </w:div>
            <w:div w:id="951011308">
              <w:marLeft w:val="0"/>
              <w:marRight w:val="0"/>
              <w:marTop w:val="0"/>
              <w:marBottom w:val="0"/>
              <w:divBdr>
                <w:top w:val="none" w:sz="0" w:space="0" w:color="auto"/>
                <w:left w:val="none" w:sz="0" w:space="0" w:color="auto"/>
                <w:bottom w:val="none" w:sz="0" w:space="0" w:color="auto"/>
                <w:right w:val="none" w:sz="0" w:space="0" w:color="auto"/>
              </w:divBdr>
              <w:divsChild>
                <w:div w:id="724989368">
                  <w:marLeft w:val="0"/>
                  <w:marRight w:val="0"/>
                  <w:marTop w:val="0"/>
                  <w:marBottom w:val="0"/>
                  <w:divBdr>
                    <w:top w:val="none" w:sz="0" w:space="0" w:color="auto"/>
                    <w:left w:val="none" w:sz="0" w:space="0" w:color="auto"/>
                    <w:bottom w:val="none" w:sz="0" w:space="0" w:color="auto"/>
                    <w:right w:val="none" w:sz="0" w:space="0" w:color="auto"/>
                  </w:divBdr>
                </w:div>
                <w:div w:id="111616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384788">
      <w:bodyDiv w:val="1"/>
      <w:marLeft w:val="0"/>
      <w:marRight w:val="0"/>
      <w:marTop w:val="0"/>
      <w:marBottom w:val="0"/>
      <w:divBdr>
        <w:top w:val="none" w:sz="0" w:space="0" w:color="auto"/>
        <w:left w:val="none" w:sz="0" w:space="0" w:color="auto"/>
        <w:bottom w:val="none" w:sz="0" w:space="0" w:color="auto"/>
        <w:right w:val="none" w:sz="0" w:space="0" w:color="auto"/>
      </w:divBdr>
    </w:div>
    <w:div w:id="2058967517">
      <w:bodyDiv w:val="1"/>
      <w:marLeft w:val="0"/>
      <w:marRight w:val="0"/>
      <w:marTop w:val="0"/>
      <w:marBottom w:val="0"/>
      <w:divBdr>
        <w:top w:val="none" w:sz="0" w:space="0" w:color="auto"/>
        <w:left w:val="none" w:sz="0" w:space="0" w:color="auto"/>
        <w:bottom w:val="none" w:sz="0" w:space="0" w:color="auto"/>
        <w:right w:val="none" w:sz="0" w:space="0" w:color="auto"/>
      </w:divBdr>
    </w:div>
    <w:div w:id="2073459856">
      <w:bodyDiv w:val="1"/>
      <w:marLeft w:val="0"/>
      <w:marRight w:val="0"/>
      <w:marTop w:val="0"/>
      <w:marBottom w:val="0"/>
      <w:divBdr>
        <w:top w:val="none" w:sz="0" w:space="0" w:color="auto"/>
        <w:left w:val="none" w:sz="0" w:space="0" w:color="auto"/>
        <w:bottom w:val="none" w:sz="0" w:space="0" w:color="auto"/>
        <w:right w:val="none" w:sz="0" w:space="0" w:color="auto"/>
      </w:divBdr>
      <w:divsChild>
        <w:div w:id="141776419">
          <w:marLeft w:val="0"/>
          <w:marRight w:val="0"/>
          <w:marTop w:val="0"/>
          <w:marBottom w:val="0"/>
          <w:divBdr>
            <w:top w:val="none" w:sz="0" w:space="0" w:color="auto"/>
            <w:left w:val="none" w:sz="0" w:space="0" w:color="auto"/>
            <w:bottom w:val="none" w:sz="0" w:space="0" w:color="auto"/>
            <w:right w:val="none" w:sz="0" w:space="0" w:color="auto"/>
          </w:divBdr>
        </w:div>
        <w:div w:id="233390915">
          <w:marLeft w:val="0"/>
          <w:marRight w:val="0"/>
          <w:marTop w:val="0"/>
          <w:marBottom w:val="0"/>
          <w:divBdr>
            <w:top w:val="none" w:sz="0" w:space="0" w:color="auto"/>
            <w:left w:val="none" w:sz="0" w:space="0" w:color="auto"/>
            <w:bottom w:val="none" w:sz="0" w:space="0" w:color="auto"/>
            <w:right w:val="none" w:sz="0" w:space="0" w:color="auto"/>
          </w:divBdr>
        </w:div>
        <w:div w:id="299966449">
          <w:marLeft w:val="0"/>
          <w:marRight w:val="0"/>
          <w:marTop w:val="0"/>
          <w:marBottom w:val="0"/>
          <w:divBdr>
            <w:top w:val="none" w:sz="0" w:space="0" w:color="auto"/>
            <w:left w:val="none" w:sz="0" w:space="0" w:color="auto"/>
            <w:bottom w:val="none" w:sz="0" w:space="0" w:color="auto"/>
            <w:right w:val="none" w:sz="0" w:space="0" w:color="auto"/>
          </w:divBdr>
        </w:div>
        <w:div w:id="361132459">
          <w:marLeft w:val="0"/>
          <w:marRight w:val="0"/>
          <w:marTop w:val="0"/>
          <w:marBottom w:val="0"/>
          <w:divBdr>
            <w:top w:val="none" w:sz="0" w:space="0" w:color="auto"/>
            <w:left w:val="none" w:sz="0" w:space="0" w:color="auto"/>
            <w:bottom w:val="none" w:sz="0" w:space="0" w:color="auto"/>
            <w:right w:val="none" w:sz="0" w:space="0" w:color="auto"/>
          </w:divBdr>
        </w:div>
        <w:div w:id="366837679">
          <w:marLeft w:val="0"/>
          <w:marRight w:val="0"/>
          <w:marTop w:val="0"/>
          <w:marBottom w:val="0"/>
          <w:divBdr>
            <w:top w:val="none" w:sz="0" w:space="0" w:color="auto"/>
            <w:left w:val="none" w:sz="0" w:space="0" w:color="auto"/>
            <w:bottom w:val="none" w:sz="0" w:space="0" w:color="auto"/>
            <w:right w:val="none" w:sz="0" w:space="0" w:color="auto"/>
          </w:divBdr>
        </w:div>
        <w:div w:id="379939813">
          <w:marLeft w:val="0"/>
          <w:marRight w:val="0"/>
          <w:marTop w:val="0"/>
          <w:marBottom w:val="0"/>
          <w:divBdr>
            <w:top w:val="none" w:sz="0" w:space="0" w:color="auto"/>
            <w:left w:val="none" w:sz="0" w:space="0" w:color="auto"/>
            <w:bottom w:val="none" w:sz="0" w:space="0" w:color="auto"/>
            <w:right w:val="none" w:sz="0" w:space="0" w:color="auto"/>
          </w:divBdr>
        </w:div>
        <w:div w:id="579217408">
          <w:marLeft w:val="0"/>
          <w:marRight w:val="0"/>
          <w:marTop w:val="0"/>
          <w:marBottom w:val="0"/>
          <w:divBdr>
            <w:top w:val="none" w:sz="0" w:space="0" w:color="auto"/>
            <w:left w:val="none" w:sz="0" w:space="0" w:color="auto"/>
            <w:bottom w:val="none" w:sz="0" w:space="0" w:color="auto"/>
            <w:right w:val="none" w:sz="0" w:space="0" w:color="auto"/>
          </w:divBdr>
        </w:div>
        <w:div w:id="611594787">
          <w:marLeft w:val="0"/>
          <w:marRight w:val="0"/>
          <w:marTop w:val="0"/>
          <w:marBottom w:val="0"/>
          <w:divBdr>
            <w:top w:val="none" w:sz="0" w:space="0" w:color="auto"/>
            <w:left w:val="none" w:sz="0" w:space="0" w:color="auto"/>
            <w:bottom w:val="none" w:sz="0" w:space="0" w:color="auto"/>
            <w:right w:val="none" w:sz="0" w:space="0" w:color="auto"/>
          </w:divBdr>
        </w:div>
        <w:div w:id="822501812">
          <w:marLeft w:val="0"/>
          <w:marRight w:val="0"/>
          <w:marTop w:val="0"/>
          <w:marBottom w:val="0"/>
          <w:divBdr>
            <w:top w:val="none" w:sz="0" w:space="0" w:color="auto"/>
            <w:left w:val="none" w:sz="0" w:space="0" w:color="auto"/>
            <w:bottom w:val="none" w:sz="0" w:space="0" w:color="auto"/>
            <w:right w:val="none" w:sz="0" w:space="0" w:color="auto"/>
          </w:divBdr>
        </w:div>
        <w:div w:id="984507281">
          <w:marLeft w:val="0"/>
          <w:marRight w:val="0"/>
          <w:marTop w:val="0"/>
          <w:marBottom w:val="0"/>
          <w:divBdr>
            <w:top w:val="none" w:sz="0" w:space="0" w:color="auto"/>
            <w:left w:val="none" w:sz="0" w:space="0" w:color="auto"/>
            <w:bottom w:val="none" w:sz="0" w:space="0" w:color="auto"/>
            <w:right w:val="none" w:sz="0" w:space="0" w:color="auto"/>
          </w:divBdr>
        </w:div>
        <w:div w:id="1059860464">
          <w:marLeft w:val="0"/>
          <w:marRight w:val="0"/>
          <w:marTop w:val="0"/>
          <w:marBottom w:val="0"/>
          <w:divBdr>
            <w:top w:val="none" w:sz="0" w:space="0" w:color="auto"/>
            <w:left w:val="none" w:sz="0" w:space="0" w:color="auto"/>
            <w:bottom w:val="none" w:sz="0" w:space="0" w:color="auto"/>
            <w:right w:val="none" w:sz="0" w:space="0" w:color="auto"/>
          </w:divBdr>
        </w:div>
        <w:div w:id="1183975220">
          <w:marLeft w:val="0"/>
          <w:marRight w:val="0"/>
          <w:marTop w:val="0"/>
          <w:marBottom w:val="0"/>
          <w:divBdr>
            <w:top w:val="none" w:sz="0" w:space="0" w:color="auto"/>
            <w:left w:val="none" w:sz="0" w:space="0" w:color="auto"/>
            <w:bottom w:val="none" w:sz="0" w:space="0" w:color="auto"/>
            <w:right w:val="none" w:sz="0" w:space="0" w:color="auto"/>
          </w:divBdr>
        </w:div>
        <w:div w:id="1552620054">
          <w:marLeft w:val="0"/>
          <w:marRight w:val="0"/>
          <w:marTop w:val="0"/>
          <w:marBottom w:val="0"/>
          <w:divBdr>
            <w:top w:val="none" w:sz="0" w:space="0" w:color="auto"/>
            <w:left w:val="none" w:sz="0" w:space="0" w:color="auto"/>
            <w:bottom w:val="none" w:sz="0" w:space="0" w:color="auto"/>
            <w:right w:val="none" w:sz="0" w:space="0" w:color="auto"/>
          </w:divBdr>
        </w:div>
        <w:div w:id="1553079129">
          <w:marLeft w:val="0"/>
          <w:marRight w:val="0"/>
          <w:marTop w:val="0"/>
          <w:marBottom w:val="0"/>
          <w:divBdr>
            <w:top w:val="none" w:sz="0" w:space="0" w:color="auto"/>
            <w:left w:val="none" w:sz="0" w:space="0" w:color="auto"/>
            <w:bottom w:val="none" w:sz="0" w:space="0" w:color="auto"/>
            <w:right w:val="none" w:sz="0" w:space="0" w:color="auto"/>
          </w:divBdr>
        </w:div>
        <w:div w:id="1569997917">
          <w:marLeft w:val="0"/>
          <w:marRight w:val="0"/>
          <w:marTop w:val="0"/>
          <w:marBottom w:val="0"/>
          <w:divBdr>
            <w:top w:val="none" w:sz="0" w:space="0" w:color="auto"/>
            <w:left w:val="none" w:sz="0" w:space="0" w:color="auto"/>
            <w:bottom w:val="none" w:sz="0" w:space="0" w:color="auto"/>
            <w:right w:val="none" w:sz="0" w:space="0" w:color="auto"/>
          </w:divBdr>
        </w:div>
        <w:div w:id="1635941043">
          <w:marLeft w:val="0"/>
          <w:marRight w:val="0"/>
          <w:marTop w:val="0"/>
          <w:marBottom w:val="0"/>
          <w:divBdr>
            <w:top w:val="none" w:sz="0" w:space="0" w:color="auto"/>
            <w:left w:val="none" w:sz="0" w:space="0" w:color="auto"/>
            <w:bottom w:val="none" w:sz="0" w:space="0" w:color="auto"/>
            <w:right w:val="none" w:sz="0" w:space="0" w:color="auto"/>
          </w:divBdr>
        </w:div>
        <w:div w:id="1656254050">
          <w:marLeft w:val="0"/>
          <w:marRight w:val="0"/>
          <w:marTop w:val="0"/>
          <w:marBottom w:val="0"/>
          <w:divBdr>
            <w:top w:val="none" w:sz="0" w:space="0" w:color="auto"/>
            <w:left w:val="none" w:sz="0" w:space="0" w:color="auto"/>
            <w:bottom w:val="none" w:sz="0" w:space="0" w:color="auto"/>
            <w:right w:val="none" w:sz="0" w:space="0" w:color="auto"/>
          </w:divBdr>
        </w:div>
        <w:div w:id="1675917956">
          <w:marLeft w:val="0"/>
          <w:marRight w:val="0"/>
          <w:marTop w:val="0"/>
          <w:marBottom w:val="0"/>
          <w:divBdr>
            <w:top w:val="none" w:sz="0" w:space="0" w:color="auto"/>
            <w:left w:val="none" w:sz="0" w:space="0" w:color="auto"/>
            <w:bottom w:val="none" w:sz="0" w:space="0" w:color="auto"/>
            <w:right w:val="none" w:sz="0" w:space="0" w:color="auto"/>
          </w:divBdr>
        </w:div>
        <w:div w:id="1678771578">
          <w:marLeft w:val="0"/>
          <w:marRight w:val="0"/>
          <w:marTop w:val="0"/>
          <w:marBottom w:val="0"/>
          <w:divBdr>
            <w:top w:val="none" w:sz="0" w:space="0" w:color="auto"/>
            <w:left w:val="none" w:sz="0" w:space="0" w:color="auto"/>
            <w:bottom w:val="none" w:sz="0" w:space="0" w:color="auto"/>
            <w:right w:val="none" w:sz="0" w:space="0" w:color="auto"/>
          </w:divBdr>
        </w:div>
        <w:div w:id="1695224452">
          <w:marLeft w:val="0"/>
          <w:marRight w:val="0"/>
          <w:marTop w:val="0"/>
          <w:marBottom w:val="0"/>
          <w:divBdr>
            <w:top w:val="none" w:sz="0" w:space="0" w:color="auto"/>
            <w:left w:val="none" w:sz="0" w:space="0" w:color="auto"/>
            <w:bottom w:val="none" w:sz="0" w:space="0" w:color="auto"/>
            <w:right w:val="none" w:sz="0" w:space="0" w:color="auto"/>
          </w:divBdr>
        </w:div>
        <w:div w:id="1709909048">
          <w:marLeft w:val="0"/>
          <w:marRight w:val="0"/>
          <w:marTop w:val="0"/>
          <w:marBottom w:val="0"/>
          <w:divBdr>
            <w:top w:val="none" w:sz="0" w:space="0" w:color="auto"/>
            <w:left w:val="none" w:sz="0" w:space="0" w:color="auto"/>
            <w:bottom w:val="none" w:sz="0" w:space="0" w:color="auto"/>
            <w:right w:val="none" w:sz="0" w:space="0" w:color="auto"/>
          </w:divBdr>
        </w:div>
        <w:div w:id="1976830592">
          <w:marLeft w:val="0"/>
          <w:marRight w:val="0"/>
          <w:marTop w:val="0"/>
          <w:marBottom w:val="0"/>
          <w:divBdr>
            <w:top w:val="none" w:sz="0" w:space="0" w:color="auto"/>
            <w:left w:val="none" w:sz="0" w:space="0" w:color="auto"/>
            <w:bottom w:val="none" w:sz="0" w:space="0" w:color="auto"/>
            <w:right w:val="none" w:sz="0" w:space="0" w:color="auto"/>
          </w:divBdr>
        </w:div>
        <w:div w:id="2051221697">
          <w:marLeft w:val="0"/>
          <w:marRight w:val="0"/>
          <w:marTop w:val="0"/>
          <w:marBottom w:val="0"/>
          <w:divBdr>
            <w:top w:val="none" w:sz="0" w:space="0" w:color="auto"/>
            <w:left w:val="none" w:sz="0" w:space="0" w:color="auto"/>
            <w:bottom w:val="none" w:sz="0" w:space="0" w:color="auto"/>
            <w:right w:val="none" w:sz="0" w:space="0" w:color="auto"/>
          </w:divBdr>
        </w:div>
      </w:divsChild>
    </w:div>
    <w:div w:id="2075152794">
      <w:bodyDiv w:val="1"/>
      <w:marLeft w:val="0"/>
      <w:marRight w:val="0"/>
      <w:marTop w:val="0"/>
      <w:marBottom w:val="0"/>
      <w:divBdr>
        <w:top w:val="none" w:sz="0" w:space="0" w:color="auto"/>
        <w:left w:val="none" w:sz="0" w:space="0" w:color="auto"/>
        <w:bottom w:val="none" w:sz="0" w:space="0" w:color="auto"/>
        <w:right w:val="none" w:sz="0" w:space="0" w:color="auto"/>
      </w:divBdr>
    </w:div>
    <w:div w:id="2112313904">
      <w:bodyDiv w:val="1"/>
      <w:marLeft w:val="0"/>
      <w:marRight w:val="0"/>
      <w:marTop w:val="0"/>
      <w:marBottom w:val="0"/>
      <w:divBdr>
        <w:top w:val="none" w:sz="0" w:space="0" w:color="auto"/>
        <w:left w:val="none" w:sz="0" w:space="0" w:color="auto"/>
        <w:bottom w:val="none" w:sz="0" w:space="0" w:color="auto"/>
        <w:right w:val="none" w:sz="0" w:space="0" w:color="auto"/>
      </w:divBdr>
      <w:divsChild>
        <w:div w:id="219243691">
          <w:marLeft w:val="0"/>
          <w:marRight w:val="0"/>
          <w:marTop w:val="0"/>
          <w:marBottom w:val="0"/>
          <w:divBdr>
            <w:top w:val="none" w:sz="0" w:space="0" w:color="auto"/>
            <w:left w:val="none" w:sz="0" w:space="0" w:color="auto"/>
            <w:bottom w:val="none" w:sz="0" w:space="0" w:color="auto"/>
            <w:right w:val="none" w:sz="0" w:space="0" w:color="auto"/>
          </w:divBdr>
        </w:div>
        <w:div w:id="242691823">
          <w:marLeft w:val="0"/>
          <w:marRight w:val="0"/>
          <w:marTop w:val="0"/>
          <w:marBottom w:val="0"/>
          <w:divBdr>
            <w:top w:val="none" w:sz="0" w:space="0" w:color="auto"/>
            <w:left w:val="none" w:sz="0" w:space="0" w:color="auto"/>
            <w:bottom w:val="none" w:sz="0" w:space="0" w:color="auto"/>
            <w:right w:val="none" w:sz="0" w:space="0" w:color="auto"/>
          </w:divBdr>
        </w:div>
        <w:div w:id="341665032">
          <w:marLeft w:val="0"/>
          <w:marRight w:val="0"/>
          <w:marTop w:val="0"/>
          <w:marBottom w:val="0"/>
          <w:divBdr>
            <w:top w:val="none" w:sz="0" w:space="0" w:color="auto"/>
            <w:left w:val="none" w:sz="0" w:space="0" w:color="auto"/>
            <w:bottom w:val="none" w:sz="0" w:space="0" w:color="auto"/>
            <w:right w:val="none" w:sz="0" w:space="0" w:color="auto"/>
          </w:divBdr>
        </w:div>
        <w:div w:id="514226816">
          <w:marLeft w:val="0"/>
          <w:marRight w:val="0"/>
          <w:marTop w:val="0"/>
          <w:marBottom w:val="0"/>
          <w:divBdr>
            <w:top w:val="none" w:sz="0" w:space="0" w:color="auto"/>
            <w:left w:val="none" w:sz="0" w:space="0" w:color="auto"/>
            <w:bottom w:val="none" w:sz="0" w:space="0" w:color="auto"/>
            <w:right w:val="none" w:sz="0" w:space="0" w:color="auto"/>
          </w:divBdr>
        </w:div>
        <w:div w:id="521633293">
          <w:marLeft w:val="0"/>
          <w:marRight w:val="0"/>
          <w:marTop w:val="0"/>
          <w:marBottom w:val="0"/>
          <w:divBdr>
            <w:top w:val="none" w:sz="0" w:space="0" w:color="auto"/>
            <w:left w:val="none" w:sz="0" w:space="0" w:color="auto"/>
            <w:bottom w:val="none" w:sz="0" w:space="0" w:color="auto"/>
            <w:right w:val="none" w:sz="0" w:space="0" w:color="auto"/>
          </w:divBdr>
        </w:div>
        <w:div w:id="567153573">
          <w:marLeft w:val="0"/>
          <w:marRight w:val="0"/>
          <w:marTop w:val="0"/>
          <w:marBottom w:val="0"/>
          <w:divBdr>
            <w:top w:val="none" w:sz="0" w:space="0" w:color="auto"/>
            <w:left w:val="none" w:sz="0" w:space="0" w:color="auto"/>
            <w:bottom w:val="none" w:sz="0" w:space="0" w:color="auto"/>
            <w:right w:val="none" w:sz="0" w:space="0" w:color="auto"/>
          </w:divBdr>
        </w:div>
        <w:div w:id="574320623">
          <w:marLeft w:val="0"/>
          <w:marRight w:val="0"/>
          <w:marTop w:val="0"/>
          <w:marBottom w:val="0"/>
          <w:divBdr>
            <w:top w:val="none" w:sz="0" w:space="0" w:color="auto"/>
            <w:left w:val="none" w:sz="0" w:space="0" w:color="auto"/>
            <w:bottom w:val="none" w:sz="0" w:space="0" w:color="auto"/>
            <w:right w:val="none" w:sz="0" w:space="0" w:color="auto"/>
          </w:divBdr>
        </w:div>
        <w:div w:id="644554171">
          <w:marLeft w:val="0"/>
          <w:marRight w:val="0"/>
          <w:marTop w:val="0"/>
          <w:marBottom w:val="0"/>
          <w:divBdr>
            <w:top w:val="none" w:sz="0" w:space="0" w:color="auto"/>
            <w:left w:val="none" w:sz="0" w:space="0" w:color="auto"/>
            <w:bottom w:val="none" w:sz="0" w:space="0" w:color="auto"/>
            <w:right w:val="none" w:sz="0" w:space="0" w:color="auto"/>
          </w:divBdr>
        </w:div>
        <w:div w:id="942499090">
          <w:marLeft w:val="0"/>
          <w:marRight w:val="0"/>
          <w:marTop w:val="0"/>
          <w:marBottom w:val="0"/>
          <w:divBdr>
            <w:top w:val="none" w:sz="0" w:space="0" w:color="auto"/>
            <w:left w:val="none" w:sz="0" w:space="0" w:color="auto"/>
            <w:bottom w:val="none" w:sz="0" w:space="0" w:color="auto"/>
            <w:right w:val="none" w:sz="0" w:space="0" w:color="auto"/>
          </w:divBdr>
        </w:div>
        <w:div w:id="1533349091">
          <w:marLeft w:val="0"/>
          <w:marRight w:val="0"/>
          <w:marTop w:val="0"/>
          <w:marBottom w:val="0"/>
          <w:divBdr>
            <w:top w:val="none" w:sz="0" w:space="0" w:color="auto"/>
            <w:left w:val="none" w:sz="0" w:space="0" w:color="auto"/>
            <w:bottom w:val="none" w:sz="0" w:space="0" w:color="auto"/>
            <w:right w:val="none" w:sz="0" w:space="0" w:color="auto"/>
          </w:divBdr>
        </w:div>
        <w:div w:id="1729375041">
          <w:marLeft w:val="0"/>
          <w:marRight w:val="0"/>
          <w:marTop w:val="0"/>
          <w:marBottom w:val="0"/>
          <w:divBdr>
            <w:top w:val="none" w:sz="0" w:space="0" w:color="auto"/>
            <w:left w:val="none" w:sz="0" w:space="0" w:color="auto"/>
            <w:bottom w:val="none" w:sz="0" w:space="0" w:color="auto"/>
            <w:right w:val="none" w:sz="0" w:space="0" w:color="auto"/>
          </w:divBdr>
        </w:div>
        <w:div w:id="1821340587">
          <w:marLeft w:val="0"/>
          <w:marRight w:val="0"/>
          <w:marTop w:val="0"/>
          <w:marBottom w:val="0"/>
          <w:divBdr>
            <w:top w:val="none" w:sz="0" w:space="0" w:color="auto"/>
            <w:left w:val="none" w:sz="0" w:space="0" w:color="auto"/>
            <w:bottom w:val="none" w:sz="0" w:space="0" w:color="auto"/>
            <w:right w:val="none" w:sz="0" w:space="0" w:color="auto"/>
          </w:divBdr>
        </w:div>
        <w:div w:id="2125688387">
          <w:marLeft w:val="0"/>
          <w:marRight w:val="0"/>
          <w:marTop w:val="0"/>
          <w:marBottom w:val="0"/>
          <w:divBdr>
            <w:top w:val="none" w:sz="0" w:space="0" w:color="auto"/>
            <w:left w:val="none" w:sz="0" w:space="0" w:color="auto"/>
            <w:bottom w:val="none" w:sz="0" w:space="0" w:color="auto"/>
            <w:right w:val="none" w:sz="0" w:space="0" w:color="auto"/>
          </w:divBdr>
        </w:div>
      </w:divsChild>
    </w:div>
    <w:div w:id="2122412819">
      <w:bodyDiv w:val="1"/>
      <w:marLeft w:val="0"/>
      <w:marRight w:val="0"/>
      <w:marTop w:val="0"/>
      <w:marBottom w:val="0"/>
      <w:divBdr>
        <w:top w:val="none" w:sz="0" w:space="0" w:color="auto"/>
        <w:left w:val="none" w:sz="0" w:space="0" w:color="auto"/>
        <w:bottom w:val="none" w:sz="0" w:space="0" w:color="auto"/>
        <w:right w:val="none" w:sz="0" w:space="0" w:color="auto"/>
      </w:divBdr>
    </w:div>
    <w:div w:id="2130082861">
      <w:bodyDiv w:val="1"/>
      <w:marLeft w:val="0"/>
      <w:marRight w:val="0"/>
      <w:marTop w:val="0"/>
      <w:marBottom w:val="0"/>
      <w:divBdr>
        <w:top w:val="none" w:sz="0" w:space="0" w:color="auto"/>
        <w:left w:val="none" w:sz="0" w:space="0" w:color="auto"/>
        <w:bottom w:val="none" w:sz="0" w:space="0" w:color="auto"/>
        <w:right w:val="none" w:sz="0" w:space="0" w:color="auto"/>
      </w:divBdr>
      <w:divsChild>
        <w:div w:id="171726047">
          <w:marLeft w:val="0"/>
          <w:marRight w:val="0"/>
          <w:marTop w:val="0"/>
          <w:marBottom w:val="0"/>
          <w:divBdr>
            <w:top w:val="none" w:sz="0" w:space="0" w:color="auto"/>
            <w:left w:val="none" w:sz="0" w:space="0" w:color="auto"/>
            <w:bottom w:val="none" w:sz="0" w:space="0" w:color="auto"/>
            <w:right w:val="none" w:sz="0" w:space="0" w:color="auto"/>
          </w:divBdr>
        </w:div>
        <w:div w:id="200360314">
          <w:marLeft w:val="0"/>
          <w:marRight w:val="0"/>
          <w:marTop w:val="0"/>
          <w:marBottom w:val="0"/>
          <w:divBdr>
            <w:top w:val="none" w:sz="0" w:space="0" w:color="auto"/>
            <w:left w:val="none" w:sz="0" w:space="0" w:color="auto"/>
            <w:bottom w:val="none" w:sz="0" w:space="0" w:color="auto"/>
            <w:right w:val="none" w:sz="0" w:space="0" w:color="auto"/>
          </w:divBdr>
        </w:div>
        <w:div w:id="315108482">
          <w:marLeft w:val="0"/>
          <w:marRight w:val="0"/>
          <w:marTop w:val="0"/>
          <w:marBottom w:val="0"/>
          <w:divBdr>
            <w:top w:val="none" w:sz="0" w:space="0" w:color="auto"/>
            <w:left w:val="none" w:sz="0" w:space="0" w:color="auto"/>
            <w:bottom w:val="none" w:sz="0" w:space="0" w:color="auto"/>
            <w:right w:val="none" w:sz="0" w:space="0" w:color="auto"/>
          </w:divBdr>
        </w:div>
        <w:div w:id="335113858">
          <w:marLeft w:val="0"/>
          <w:marRight w:val="0"/>
          <w:marTop w:val="0"/>
          <w:marBottom w:val="0"/>
          <w:divBdr>
            <w:top w:val="none" w:sz="0" w:space="0" w:color="auto"/>
            <w:left w:val="none" w:sz="0" w:space="0" w:color="auto"/>
            <w:bottom w:val="none" w:sz="0" w:space="0" w:color="auto"/>
            <w:right w:val="none" w:sz="0" w:space="0" w:color="auto"/>
          </w:divBdr>
        </w:div>
        <w:div w:id="381560146">
          <w:marLeft w:val="0"/>
          <w:marRight w:val="0"/>
          <w:marTop w:val="0"/>
          <w:marBottom w:val="0"/>
          <w:divBdr>
            <w:top w:val="none" w:sz="0" w:space="0" w:color="auto"/>
            <w:left w:val="none" w:sz="0" w:space="0" w:color="auto"/>
            <w:bottom w:val="none" w:sz="0" w:space="0" w:color="auto"/>
            <w:right w:val="none" w:sz="0" w:space="0" w:color="auto"/>
          </w:divBdr>
        </w:div>
        <w:div w:id="420683834">
          <w:marLeft w:val="0"/>
          <w:marRight w:val="0"/>
          <w:marTop w:val="0"/>
          <w:marBottom w:val="0"/>
          <w:divBdr>
            <w:top w:val="none" w:sz="0" w:space="0" w:color="auto"/>
            <w:left w:val="none" w:sz="0" w:space="0" w:color="auto"/>
            <w:bottom w:val="none" w:sz="0" w:space="0" w:color="auto"/>
            <w:right w:val="none" w:sz="0" w:space="0" w:color="auto"/>
          </w:divBdr>
        </w:div>
        <w:div w:id="1432701697">
          <w:marLeft w:val="0"/>
          <w:marRight w:val="0"/>
          <w:marTop w:val="0"/>
          <w:marBottom w:val="0"/>
          <w:divBdr>
            <w:top w:val="none" w:sz="0" w:space="0" w:color="auto"/>
            <w:left w:val="none" w:sz="0" w:space="0" w:color="auto"/>
            <w:bottom w:val="none" w:sz="0" w:space="0" w:color="auto"/>
            <w:right w:val="none" w:sz="0" w:space="0" w:color="auto"/>
          </w:divBdr>
        </w:div>
        <w:div w:id="1444618109">
          <w:marLeft w:val="0"/>
          <w:marRight w:val="0"/>
          <w:marTop w:val="0"/>
          <w:marBottom w:val="0"/>
          <w:divBdr>
            <w:top w:val="none" w:sz="0" w:space="0" w:color="auto"/>
            <w:left w:val="none" w:sz="0" w:space="0" w:color="auto"/>
            <w:bottom w:val="none" w:sz="0" w:space="0" w:color="auto"/>
            <w:right w:val="none" w:sz="0" w:space="0" w:color="auto"/>
          </w:divBdr>
        </w:div>
        <w:div w:id="1454056266">
          <w:marLeft w:val="0"/>
          <w:marRight w:val="0"/>
          <w:marTop w:val="0"/>
          <w:marBottom w:val="0"/>
          <w:divBdr>
            <w:top w:val="none" w:sz="0" w:space="0" w:color="auto"/>
            <w:left w:val="none" w:sz="0" w:space="0" w:color="auto"/>
            <w:bottom w:val="none" w:sz="0" w:space="0" w:color="auto"/>
            <w:right w:val="none" w:sz="0" w:space="0" w:color="auto"/>
          </w:divBdr>
        </w:div>
      </w:divsChild>
    </w:div>
    <w:div w:id="2142796579">
      <w:bodyDiv w:val="1"/>
      <w:marLeft w:val="0"/>
      <w:marRight w:val="0"/>
      <w:marTop w:val="0"/>
      <w:marBottom w:val="0"/>
      <w:divBdr>
        <w:top w:val="none" w:sz="0" w:space="0" w:color="auto"/>
        <w:left w:val="none" w:sz="0" w:space="0" w:color="auto"/>
        <w:bottom w:val="none" w:sz="0" w:space="0" w:color="auto"/>
        <w:right w:val="none" w:sz="0" w:space="0" w:color="auto"/>
      </w:divBdr>
      <w:divsChild>
        <w:div w:id="216668277">
          <w:marLeft w:val="0"/>
          <w:marRight w:val="0"/>
          <w:marTop w:val="0"/>
          <w:marBottom w:val="0"/>
          <w:divBdr>
            <w:top w:val="none" w:sz="0" w:space="0" w:color="auto"/>
            <w:left w:val="none" w:sz="0" w:space="0" w:color="auto"/>
            <w:bottom w:val="none" w:sz="0" w:space="0" w:color="auto"/>
            <w:right w:val="none" w:sz="0" w:space="0" w:color="auto"/>
          </w:divBdr>
        </w:div>
        <w:div w:id="258873976">
          <w:marLeft w:val="0"/>
          <w:marRight w:val="0"/>
          <w:marTop w:val="0"/>
          <w:marBottom w:val="0"/>
          <w:divBdr>
            <w:top w:val="none" w:sz="0" w:space="0" w:color="auto"/>
            <w:left w:val="none" w:sz="0" w:space="0" w:color="auto"/>
            <w:bottom w:val="none" w:sz="0" w:space="0" w:color="auto"/>
            <w:right w:val="none" w:sz="0" w:space="0" w:color="auto"/>
          </w:divBdr>
        </w:div>
        <w:div w:id="16081941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footer" Target="footer6.xm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9.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8.xml"/><Relationship Id="rId29"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10.xml"/><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footer" Target="footer7.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1.png"/><Relationship Id="rId27" Type="http://schemas.openxmlformats.org/officeDocument/2006/relationships/header" Target="header5.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www.buzer.de/gesetz/12172/a200597.htm" TargetMode="External"/><Relationship Id="rId1" Type="http://schemas.openxmlformats.org/officeDocument/2006/relationships/hyperlink" Target="http://www.buzer.de/gesetz/12172/a200596.ht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Platzhalter1</b:Tag>
    <b:SourceType>Report</b:SourceType>
    <b:Guid>{8AADE69C-47DA-4488-872A-207CF197860D}</b:Guid>
    <b:Title>Nationaler Entwicklungsplan Elektromobilität der Bundesregierung</b:Title>
    <b:Year>Stand August 2009</b:Year>
    <b:Pages>online über http://www.elektromobilitaet2008.de</b:Pages>
    <b:ThesisType>01.07.2010</b:ThesisType>
    <b:ShortTitle>Nationaler Entwicklungsplan Elektromobilität der Bundesregierung</b:ShortTitle>
    <b:RefOrder>2</b:RefOrder>
  </b:Source>
  <b:Source>
    <b:Tag>Platzhalter2</b:Tag>
    <b:SourceType>ArticleInAPeriodical</b:SourceType>
    <b:Guid>{E7E66CCD-E346-4DDA-8C77-2848052F422E}</b:Guid>
    <b:Title>Energiewirtschaftliche und energiewirtschaftsrechtliche Fragen der Elektromobilität</b:Title>
    <b:Year>2010, Heft 5</b:Year>
    <b:Author>
      <b:Author>
        <b:NameList>
          <b:Person>
            <b:Last>Fest</b:Last>
            <b:First>Claus</b:First>
          </b:Person>
          <b:Person>
            <b:Last>Franz</b:Last>
            <b:First>Oliver</b:First>
          </b:Person>
          <b:Person>
            <b:Last>Gaul</b:Last>
            <b:First>Armin</b:First>
          </b:Person>
        </b:NameList>
      </b:Author>
    </b:Author>
    <b:PeriodicalTitle>ET</b:PeriodicalTitle>
    <b:Pages>79</b:Pages>
    <b:RefOrder>3</b:RefOrder>
  </b:Source>
  <b:Source>
    <b:Tag>Platzhalter4</b:Tag>
    <b:SourceType>ArticleInAPeriodical</b:SourceType>
    <b:Guid>{07228C5F-A2FC-4789-B4E9-F90DA2642755}</b:Guid>
    <b:Author>
      <b:Author>
        <b:NameList>
          <b:Person>
            <b:Last>Berg</b:Last>
            <b:First>Andreas</b:First>
          </b:Person>
          <b:Person>
            <b:Last>Zayer</b:Last>
            <b:First>Peter</b:First>
          </b:Person>
          <b:Person>
            <b:Last>Hechtfischer</b:Last>
            <b:First>Knut</b:First>
          </b:Person>
          <b:Person>
            <b:Last>Pawlitschek</b:Last>
            <b:First>Frank</b:First>
          </b:Person>
        </b:NameList>
      </b:Author>
    </b:Author>
    <b:Title>On-board Metering - einfach überall Strom tanken</b:Title>
    <b:PeriodicalTitle>ET</b:PeriodicalTitle>
    <b:Year>2011, Heft 6</b:Year>
    <b:Pages>58</b:Pages>
    <b:RefOrder>4</b:RefOrder>
  </b:Source>
  <b:Source>
    <b:Tag>Platzhalter5</b:Tag>
    <b:SourceType>ArticleInAPeriodical</b:SourceType>
    <b:Guid>{479F492D-3956-4A79-A117-B25BA3EF970C}</b:Guid>
    <b:Author>
      <b:Author>
        <b:NameList>
          <b:Person>
            <b:Last>Hechtfischer</b:Last>
            <b:First>Knut</b:First>
          </b:Person>
          <b:Person>
            <b:Last>Pawlitschek</b:Last>
            <b:First>Frank</b:First>
          </b:Person>
        </b:NameList>
      </b:Author>
    </b:Author>
    <b:Title>Das Auto lernt zählen: Mobile Metering - Ladeinfrastruktur für E-Fahrzeuge</b:Title>
    <b:PeriodicalTitle>Automobil Elektronik</b:PeriodicalTitle>
    <b:Year>02/2011</b:Year>
    <b:Pages>58</b:Pages>
    <b:RefOrder>5</b:RefOrder>
  </b:Source>
  <b:Source>
    <b:Tag>Zwi10</b:Tag>
    <b:SourceType>Report</b:SourceType>
    <b:Guid>{61A4E5FA-884C-4C0B-ADF7-EE08C74F3CDF}</b:Guid>
    <b:Title>Zwischenbericht der Nationalen Plattform Elektromobilität</b:Title>
    <b:Year>30. November 2010</b:Year>
    <b:Pages>online über http://www.bmu.de/files/pdfs/allgemein/application/pdf/bericht_emob_bf.pdf</b:Pages>
    <b:ThesisType>11.07.2011</b:ThesisType>
    <b:ShortTitle>Zwischenbericht der Nationalen Plattform Elektromobilität</b:ShortTitle>
    <b:RefOrder>6</b:RefOrder>
  </b:Source>
  <b:Source>
    <b:Tag>Zwe111</b:Tag>
    <b:SourceType>Report</b:SourceType>
    <b:Guid>{0AD18A99-5E6C-43DC-B89A-DA799F008FC2}</b:Guid>
    <b:Title>Zweiter Bericht der Nationalen Plattform Elektromobilität Anhang</b:Title>
    <b:Year>Mai 2011</b:Year>
    <b:Pages>online über http://www.bmu.de/files/pdfs/allgemein/application/pdf/bericht_emob_2_anhang_bf.pdf</b:Pages>
    <b:ThesisType>12.07.2011</b:ThesisType>
    <b:ShortTitle>Zweiter Bericht der Nationalen Plattform Elektromobilität Anhang</b:ShortTitle>
    <b:RefOrder>7</b:RefOrder>
  </b:Source>
  <b:Source>
    <b:Tag>Zwe11</b:Tag>
    <b:SourceType>Report</b:SourceType>
    <b:Guid>{EE86D0BF-78E4-4F9F-A57A-9A2B40520B04}</b:Guid>
    <b:Title>Zweiter Bericht der Nationalen Plattform Elektromobilität</b:Title>
    <b:Year>Mai 2011</b:Year>
    <b:Pages>online über http://www.bmu.de/files/pdfs/allgemein/application/pdf/bericht_emob_2.pdf</b:Pages>
    <b:ThesisType>12.07.2011</b:ThesisType>
    <b:ShortTitle>Zweiter Bericht der Nationalen Plattform Elektromobilität</b:ShortTitle>
    <b:RefOrder>8</b:RefOrder>
  </b:Source>
  <b:Source>
    <b:Tag>Zwa06</b:Tag>
    <b:SourceType>ArticleInAPeriodical</b:SourceType>
    <b:Guid>{B7283FCD-772D-4BD9-8DD1-04A5B8BACE7D}</b:Guid>
    <b:Author>
      <b:Author>
        <b:NameList>
          <b:Person>
            <b:Last>Zwade</b:Last>
            <b:First>Christian</b:First>
          </b:Person>
          <b:Person>
            <b:Last>Mühl</b:Last>
            <b:First>Thomas</b:First>
          </b:Person>
        </b:NameList>
      </b:Author>
    </b:Author>
    <b:Title>Der Aufwendungs- und Schadensersatzanspruch im Kreditkartengeschäft - unter besonderer Berücksichtigung der Beweislastverteilung und -führung -</b:Title>
    <b:PeriodicalTitle>WM</b:PeriodicalTitle>
    <b:Year>2006</b:Year>
    <b:Pages>1225</b:Pages>
    <b:RefOrder>9</b:RefOrder>
  </b:Source>
  <b:Source>
    <b:Tag>Zöl10</b:Tag>
    <b:SourceType>BookSection</b:SourceType>
    <b:Guid>{8A267ADF-9AB9-42EF-9381-8C6AC02510B9}</b:Guid>
    <b:Title>ZPO - Zivilprozessordnung</b:Title>
    <b:Year>28. Auflage 2010</b:Year>
    <b:City>Köln</b:City>
    <b:Author>
      <b:Editor>
        <b:NameList>
          <b:Person>
            <b:Last>Zöller</b:Last>
            <b:First>Richard</b:First>
          </b:Person>
        </b:NameList>
      </b:Editor>
    </b:Author>
    <b:ShortTitle>ZPO</b:ShortTitle>
    <b:RefOrder>10</b:RefOrder>
  </b:Source>
  <b:Source>
    <b:Tag>ZNE</b:Tag>
    <b:SourceType>Case</b:SourceType>
    <b:Guid>{60ED9966-B0FA-4826-B038-874F8B169615}</b:Guid>
    <b:Title>ZNER 2006, 152</b:Title>
    <b:Court>OLG Düsseldorf</b:Court>
    <b:RefOrder>11</b:RefOrder>
  </b:Source>
  <b:Source>
    <b:Tag>Zan11</b:Tag>
    <b:SourceType>BookSection</b:SourceType>
    <b:Guid>{9E017A4B-08C3-47EA-9F95-98A2D6276332}</b:Guid>
    <b:Title>Praxishandbuch Energiebeschaffung</b:Title>
    <b:Year>Stand Juni 2011</b:Year>
    <b:City>Köln</b:City>
    <b:Author>
      <b:Editor>
        <b:NameList>
          <b:Person>
            <b:Last>Zander</b:Last>
            <b:First>Wolfgang</b:First>
          </b:Person>
          <b:Person>
            <b:Last>Riedel</b:Last>
            <b:First>Martin</b:First>
          </b:Person>
        </b:NameList>
      </b:Editor>
    </b:Author>
    <b:ShortTitle>Praxishandbuch Energiebeschaffung</b:ShortTitle>
    <b:RefOrder>12</b:RefOrder>
  </b:Source>
  <b:Source>
    <b:Tag>WM22</b:Tag>
    <b:SourceType>Case</b:SourceType>
    <b:Guid>{AD9B685F-E761-4B72-8DE7-006F5882E445}</b:Guid>
    <b:Title>WM 2011, 496</b:Title>
    <b:Court>AG Frankfurt a.M.</b:Court>
    <b:RefOrder>13</b:RefOrder>
  </b:Source>
  <b:Source>
    <b:Tag>WM21</b:Tag>
    <b:SourceType>Case</b:SourceType>
    <b:Guid>{CD2A30B1-9D1D-43FA-92BA-08019719690E}</b:Guid>
    <b:Title>WM 2011, 498</b:Title>
    <b:Court>AG Hamburg</b:Court>
    <b:RefOrder>14</b:RefOrder>
  </b:Source>
  <b:Source>
    <b:Tag>WM2</b:Tag>
    <b:SourceType>Case</b:SourceType>
    <b:Guid>{49F540F0-8963-4DAD-88D8-BCBFB8F6C085}</b:Guid>
    <b:Title>WM 2001, 650</b:Title>
    <b:RefOrder>15</b:RefOrder>
  </b:Source>
  <b:Source>
    <b:Tag>WM1</b:Tag>
    <b:SourceType>Case</b:SourceType>
    <b:Guid>{8E557F58-CF6B-43C7-9A25-19BC130D1E1C}</b:Guid>
    <b:Title>WM 1997, 2082</b:Title>
    <b:Court>AG Charlottenburg</b:Court>
    <b:RefOrder>16</b:RefOrder>
  </b:Source>
  <b:Source>
    <b:Tag>Win</b:Tag>
    <b:SourceType>Interview</b:SourceType>
    <b:Guid>{B874F303-A804-4A6B-8806-35FB3550B602}</b:Guid>
    <b:Author>
      <b:Editor>
        <b:NameList>
          <b:Person>
            <b:Last>Winter</b:Last>
            <b:First>Ralf</b:First>
          </b:Person>
        </b:NameList>
      </b:Editor>
    </b:Author>
    <b:Pages>CR, 2004, 218</b:Pages>
    <b:Day>19.12.2003 - 2 O 472/03</b:Day>
    <b:Publisher>LG Bonn</b:Publisher>
    <b:RefOrder>17</b:RefOrder>
  </b:Source>
  <b:Source>
    <b:Tag>Wil10</b:Tag>
    <b:SourceType>ArticleInAPeriodical</b:SourceType>
    <b:Guid>{828868D5-5F67-4050-BC24-48D32C3C7F7F}</b:Guid>
    <b:Title>Smart Metering und die Öffnung des Messwesens</b:Title>
    <b:Author>
      <b:Author>
        <b:NameList>
          <b:Person>
            <b:Last>Wilkes</b:Last>
            <b:First>Birgit</b:First>
          </b:Person>
        </b:NameList>
      </b:Author>
    </b:Author>
    <b:PeriodicalTitle>WuM</b:PeriodicalTitle>
    <b:Year>2010</b:Year>
    <b:Pages>615</b:Pages>
    <b:RefOrder>18</b:RefOrder>
  </b:Source>
  <b:Source>
    <b:Tag>Wie111</b:Tag>
    <b:SourceType>ArticleInAPeriodical</b:SourceType>
    <b:Guid>{850282EE-4F98-4E6A-8A0C-5279C4B58D7C}</b:Guid>
    <b:Title>IT-rechtliche Rahmenbedingungen für „intelligente” Stromzähler und Netze - Smart Meter und Smart Grids</b:Title>
    <b:Author>
      <b:Author>
        <b:NameList>
          <b:Person>
            <b:Last>Wiesemann</b:Last>
            <b:First>Hans</b:First>
            <b:Middle>Peter</b:Middle>
          </b:Person>
        </b:NameList>
      </b:Author>
    </b:Author>
    <b:PeriodicalTitle>MMR</b:PeriodicalTitle>
    <b:Year>2011</b:Year>
    <b:Pages>355</b:Pages>
    <b:RefOrder>19</b:RefOrder>
  </b:Source>
  <b:Source>
    <b:Tag>Wie11</b:Tag>
    <b:SourceType>ArticleInAPeriodical</b:SourceType>
    <b:Guid>{EABAC083-E5AD-445E-BD25-8A51D7710851}</b:Guid>
    <b:Title>Energiespeicher als zentrale Elemente eines intelligenten Energieversorgungsnetzes – Rechtliche Einordnung</b:Title>
    <b:Year>2011</b:Year>
    <b:Pages>240</b:Pages>
    <b:Author>
      <b:Author>
        <b:NameList>
          <b:Person>
            <b:Last>Wieser</b:Last>
            <b:First>Matthias</b:First>
          </b:Person>
        </b:NameList>
      </b:Author>
    </b:Author>
    <b:PeriodicalTitle>ZUR</b:PeriodicalTitle>
    <b:RefOrder>20</b:RefOrder>
  </b:Source>
  <b:Source>
    <b:Tag>Wie08</b:Tag>
    <b:SourceType>ArticleInAPeriodical</b:SourceType>
    <b:Guid>{1A545430-4CA3-4BED-BB01-2D630D25AE16}</b:Guid>
    <b:Author>
      <b:Author>
        <b:NameList>
          <b:Person>
            <b:Last>Wietschel</b:Last>
            <b:First>Martin</b:First>
          </b:Person>
          <b:Person>
            <b:Last>Dallinger</b:Last>
            <b:First>David</b:First>
          </b:Person>
        </b:NameList>
      </b:Author>
    </b:Author>
    <b:Title>Quo Vadis Elektromobilität</b:Title>
    <b:PeriodicalTitle>ET</b:PeriodicalTitle>
    <b:Year>2008, Heft 12</b:Year>
    <b:Pages>8</b:Pages>
    <b:RefOrder>21</b:RefOrder>
  </b:Source>
  <b:Source>
    <b:Tag>Wie00</b:Tag>
    <b:SourceType>ArticleInAPeriodical</b:SourceType>
    <b:Guid>{A96D5E85-38E4-475E-A411-C758121FB6ED}</b:Guid>
    <b:Title>Rechtliche Aspekte des Online-Banking</b:Title>
    <b:Year>2000</b:Year>
    <b:Author>
      <b:Author>
        <b:NameList>
          <b:Person>
            <b:Last>Wiesgickl</b:Last>
            <b:First>Margareta</b:First>
          </b:Person>
        </b:NameList>
      </b:Author>
    </b:Author>
    <b:PeriodicalTitle>WM</b:PeriodicalTitle>
    <b:Pages>1039</b:Pages>
    <b:RefOrder>22</b:RefOrder>
  </b:Source>
  <b:Source>
    <b:Tag>Wer98</b:Tag>
    <b:SourceType>ArticleInAPeriodical</b:SourceType>
    <b:Guid>{16A54E86-3F43-44F0-8632-5AC7FFA0320B}</b:Guid>
    <b:Author>
      <b:Author>
        <b:NameList>
          <b:Person>
            <b:Last>Werner</b:Last>
            <b:First>Stefan</b:First>
          </b:Person>
        </b:NameList>
      </b:Author>
    </b:Author>
    <b:Title>Beweislastverteilung und Haftungsrisiken im elektronischen Zahlungsverkehr</b:Title>
    <b:PeriodicalTitle>MMR</b:PeriodicalTitle>
    <b:Year>1998</b:Year>
    <b:Pages>232</b:Pages>
    <b:RefOrder>23</b:RefOrder>
  </b:Source>
  <b:Source>
    <b:Tag>Wen11</b:Tag>
    <b:SourceType>ArticleInAPeriodical</b:SourceType>
    <b:Guid>{F1D733DD-9614-4E63-9BAE-A513C35D9B18}</b:Guid>
    <b:Author>
      <b:Author>
        <b:NameList>
          <b:Person>
            <b:Last>Wendt</b:Last>
            <b:First>Mario</b:First>
          </b:Person>
        </b:NameList>
      </b:Author>
    </b:Author>
    <b:Title>Smart Grid - eine Herausforderung aus Sicht der Standardisierung und der IT-Sicherheit oder schon "business-as-usual"</b:Title>
    <b:PeriodicalTitle>DuD</b:PeriodicalTitle>
    <b:Year>2011</b:Year>
    <b:Pages>22</b:Pages>
    <b:RefOrder>24</b:RefOrder>
  </b:Source>
  <b:Source>
    <b:Tag>War11</b:Tag>
    <b:SourceType>ArticleInAPeriodical</b:SourceType>
    <b:Guid>{C8DE5E90-CE18-4DA2-8C3E-5A5F76E8E783}</b:Guid>
    <b:Title>Elektromobilität: Integration in die Regularien des Energiemarktes</b:Title>
    <b:Year>2011</b:Year>
    <b:Pages>224</b:Pages>
    <b:Author>
      <b:Author>
        <b:NameList>
          <b:Person>
            <b:Last>Warweg</b:Last>
            <b:First>Oliver</b:First>
          </b:Person>
          <b:Person>
            <b:Last>Nicolai</b:Last>
            <b:First>Steffen</b:First>
          </b:Person>
          <b:Person>
            <b:Last>Bretschneider</b:Last>
            <b:First>Peter</b:First>
          </b:Person>
        </b:NameList>
      </b:Author>
    </b:Author>
    <b:PeriodicalTitle>Energy 2.0-Kompendium</b:PeriodicalTitle>
    <b:RefOrder>25</b:RefOrder>
  </b:Source>
  <b:Source>
    <b:Tag>Wäc91</b:Tag>
    <b:SourceType>ArticleInAPeriodical</b:SourceType>
    <b:Guid>{68905C78-3DE6-4369-864E-73BEEA51921C}</b:Guid>
    <b:Author>
      <b:Author>
        <b:NameList>
          <b:Person>
            <b:Last>Wächter</b:Last>
            <b:First>Michael</b:First>
          </b:Person>
        </b:NameList>
      </b:Author>
    </b:Author>
    <b:Title>Rechtliche Grundstrukturen der Datenverarbeitung im Auftrag</b:Title>
    <b:PeriodicalTitle>CR</b:PeriodicalTitle>
    <b:Year>1991</b:Year>
    <b:Pages>333</b:Pages>
    <b:RefOrder>26</b:RefOrder>
  </b:Source>
  <b:Source>
    <b:Tag>Wac18</b:Tag>
    <b:SourceType>ArticleInAPeriodical</b:SourceType>
    <b:Guid>{CBDB217E-CC77-4995-8942-4AB78438C623}</b:Guid>
    <b:Title>Virtuelle regelkraftwerke mit Mini-Blockheizkraftwerken - eine wirtschaftliche Utopie?</b:Title>
    <b:Author>
      <b:Author>
        <b:NameList>
          <b:Person>
            <b:Last>Wacker</b:Last>
            <b:First>Jens</b:First>
          </b:Person>
          <b:Person>
            <b:Last>Schulz</b:Last>
            <b:First>Christian</b:First>
          </b:Person>
          <b:Person>
            <b:Last>Kurrat</b:Last>
            <b:First>Michael</b:First>
          </b:Person>
        </b:NameList>
      </b:Author>
    </b:Author>
    <b:PeriodicalTitle>ew</b:PeriodicalTitle>
    <b:Year>2005, Heft 17-18</b:Year>
    <b:Pages>20</b:Pages>
    <b:RefOrder>27</b:RefOrder>
  </b:Source>
  <b:Source>
    <b:Tag>VVS01</b:Tag>
    <b:SourceType>Report</b:SourceType>
    <b:Guid>{DDF082F8-481F-4F3A-AB88-D2337E4E8611}</b:Guid>
    <b:Title>VV Strom II plus: Verbändevereinbarung über Kriterien zur Bestimmung von Netznutzungsentgelten für elektrische Energie und über Prinzipien der Netznutzung</b:Title>
    <b:Year>13. Dezember 2001</b:Year>
    <b:Pages>http://www.iwr.de/re/eu/recht/VVIIplus.pdf</b:Pages>
    <b:ThesisType>29.11.2011</b:ThesisType>
    <b:ShortTitle>VV Strom II plus</b:ShortTitle>
    <b:RefOrder>28</b:RefOrder>
  </b:Source>
  <b:Source>
    <b:Tag>von11</b:Tag>
    <b:SourceType>ArticleInAPeriodical</b:SourceType>
    <b:Guid>{B03CB087-66CF-4CED-BFB5-0D8FD0BD6C53}</b:Guid>
    <b:Author>
      <b:Author>
        <b:NameList>
          <b:Person>
            <b:Last>von Hammerstein</b:Last>
            <b:First>Christian</b:First>
          </b:Person>
          <b:Person>
            <b:Last>von Hoff</b:Last>
            <b:First>Stefanie</b:First>
          </b:Person>
        </b:NameList>
      </b:Author>
    </b:Author>
    <b:Title>Neue Infrastrukturkonzepte für Elektromobilität</b:Title>
    <b:PeriodicalTitle>ZNER</b:PeriodicalTitle>
    <b:Year>2011</b:Year>
    <b:Pages>259</b:Pages>
    <b:RefOrder>29</b:RefOrder>
  </b:Source>
  <b:Source>
    <b:Tag>von09</b:Tag>
    <b:SourceType>ArticleInAPeriodical</b:SourceType>
    <b:Guid>{153ACA2D-123E-4949-B4C3-1495ED6728B1}</b:Guid>
    <b:Author>
      <b:Author>
        <b:NameList>
          <b:Person>
            <b:Last>von Hoff</b:Last>
            <b:First>Stefanie</b:First>
          </b:Person>
        </b:NameList>
      </b:Author>
    </b:Author>
    <b:Title>Zugangsanspruch zu Elektromobilitätstankstellen</b:Title>
    <b:PeriodicalTitle>ZNER</b:PeriodicalTitle>
    <b:Year>2009</b:Year>
    <b:Pages>341</b:Pages>
    <b:RefOrder>30</b:RefOrder>
  </b:Source>
  <b:Source>
    <b:Tag>Ver1</b:Tag>
    <b:SourceType>Case</b:SourceType>
    <b:Guid>{F7E4B814-79F0-412D-9851-FB178802C852}</b:Guid>
    <b:Title>Verfügung 168/1999 vom 22.12.1999, Teil 3 - Technische Anforderungen an Entgeltermittlungssysteme zur Sicherstellung der richtigen Verbindungspreisberechnung nach § 5 der Telekommunikations-Kundenschutz-Verordnung (TKV)</b:Title>
    <b:Court>RegTP,</b:Court>
    <b:RefOrder>31</b:RefOrder>
  </b:Source>
  <b:Source>
    <b:Tag>Ver</b:Tag>
    <b:SourceType>Case</b:SourceType>
    <b:Guid>{0F4D8BAD-985F-46AD-9506-C244704D80A8}</b:Guid>
    <b:Title>Verordnung (EG) Nr. 714/2009 des europäischen Parlaments und des Rates vom 13. Juli 2009 über die Netzzugangsbedingungen für den grenzüberschreitenden Stromhandel</b:Title>
    <b:RefOrder>32</b:RefOrder>
  </b:Source>
  <b:Source>
    <b:Tag>VDN091</b:Tag>
    <b:SourceType>Report</b:SourceType>
    <b:Guid>{B319FD17-05A4-4079-AB0C-1C29638CBCB3}</b:Guid>
    <b:Title>VDN TransmissionCode 2007, Anhang D 2 Teil 2, Anforderungen für die Umsetzung des SRL-Poolkonzepts zwischen ÜNB und Anbietern</b:Title>
    <b:Year>Stand November 2009</b:Year>
    <b:Pages>online über http://www.bdew.de/bdew.nsf/id/DE_7B6ERD_NetzCodes_und_Richtlinien</b:Pages>
    <b:ThesisType>21.07.2010</b:ThesisType>
    <b:ShortTitle>VDN TransmissionCode 2007, Anhang D 2 Teil 2</b:ShortTitle>
    <b:RefOrder>33</b:RefOrder>
  </b:Source>
  <b:Source>
    <b:Tag>VDN09</b:Tag>
    <b:SourceType>Report</b:SourceType>
    <b:Guid>{36C04EB9-1DCD-46C2-B1E0-80500983D74D}</b:Guid>
    <b:Title>VDN TransmissionCode 2007, Anhang D2 Teil 1 - Unterlagen zur Präqualifikation von Anbietern zur Erbringung von Sekundärregelleistung für die ÜNB</b:Title>
    <b:Year>Stand November 2009</b:Year>
    <b:Pages>online über http://www.bdew.de/bdew.nsf/id/DE_7B6ERD_NetzCodes_und_Richtlinien</b:Pages>
    <b:ThesisType>21.07.2010</b:ThesisType>
    <b:ShortTitle>VDN TransmissionCode 2007, Anhang D2 Teil 1</b:ShortTitle>
    <b:RefOrder>34</b:RefOrder>
  </b:Source>
  <b:Source>
    <b:Tag>VDN072</b:Tag>
    <b:SourceType>Report</b:SourceType>
    <b:Guid>{722B036E-24E5-45A5-86F6-9BC5D19AA2E7}</b:Guid>
    <b:Title>VDN TransmissionCode 2007, Anhang D 3 - Unterlagen zur Präqualifikation für die Erbringung von Minutenreserveleistung</b:Title>
    <b:Year>Stand August 2007</b:Year>
    <b:Pages>online über http://www.bdew.de/bdew.nsf/id/DE_7B6ERD_NetzCodes_und_Richtlinien</b:Pages>
    <b:ThesisType>21.07.2010</b:ThesisType>
    <b:ShortTitle>VDN TransmissionCode 2007, Anhang D 3</b:ShortTitle>
    <b:RefOrder>35</b:RefOrder>
  </b:Source>
  <b:Source>
    <b:Tag>VDN071</b:Tag>
    <b:SourceType>Report</b:SourceType>
    <b:Guid>{50179C43-5296-4EF8-A4D0-469F13F6E2A9}</b:Guid>
    <b:Title>VDN Distribution Code 2007: Regeln für den Zugang zu Verteilungsnetzen</b:Title>
    <b:Year>Stand August 2007</b:Year>
    <b:Pages>online über http://www.bdew.de/bdew.nsf/id/DE_7B6ERD_NetzCodes_und_Richtlinien</b:Pages>
    <b:ThesisType>16.07.2010</b:ThesisType>
    <b:ShortTitle>VDN Distribution Code 2007</b:ShortTitle>
    <b:RefOrder>36</b:RefOrder>
  </b:Source>
  <b:Source>
    <b:Tag>VDN07</b:Tag>
    <b:SourceType>Report</b:SourceType>
    <b:Guid>{D008F390-13CB-417A-8D32-37711CE552C6}</b:Guid>
    <b:Title>VDN TransmissionCode 2007, Netz und Systemregeln der deutschen Übertragungsnetzbetreiber</b:Title>
    <b:Year>Stand August 2007</b:Year>
    <b:Pages>online über http://www.bdew.de/bdew.nsf/id/DE_7B6ERD_NetzCodes_und_Richtlinien</b:Pages>
    <b:ThesisType>21.07.2010</b:ThesisType>
    <b:ShortTitle>VDN TransmissionCode 2007</b:ShortTitle>
    <b:RefOrder>37</b:RefOrder>
  </b:Source>
  <b:Source>
    <b:Tag>VDN03</b:Tag>
    <b:SourceType>Report</b:SourceType>
    <b:Guid>{13C42AA8-B9ED-4DEA-A08C-4A7C6287FDF1}</b:Guid>
    <b:Title>VDN TransmissionCode 2003, Anhang D 1, Unterlagen zur Präqualifikation für die Erbringung von Primärregelleistung für die ÜNB</b:Title>
    <b:Year>Stand August 2003</b:Year>
    <b:Pages>online über http://www.bdew.de/bdew.nsf/id/DE_7B6ERD_NetzCodes_und_Richtlinien</b:Pages>
    <b:ThesisType>21.07.2010</b:ThesisType>
    <b:ShortTitle>VDN TransmissionCode 2003, Anhang D 1</b:ShortTitle>
    <b:RefOrder>38</b:RefOrder>
  </b:Source>
  <b:Source>
    <b:Tag>VDN02</b:Tag>
    <b:SourceType>DocumentFromInternetSite</b:SourceType>
    <b:Guid>{81900E5C-5FD8-4B4A-889C-59A5A7428FB7}</b:Guid>
    <b:Title>Kommentarband Umsetzung der Verbändevereinbarung über Kriterien zur Bestimmung von Netznutzungsentgelten für elektrische Energie und über Prinzipien der Netznutzung vom 13. Dezember 2001 (VV II +)</b:Title>
    <b:Year>Stand November 2002</b:Year>
    <b:Pages>online über http://www.lew.de/CLP/DOWNLOADS/GESETZE/KOMMENTARBAND_VV2PLUS.PDF</b:Pages>
    <b:ThesisType>20.04.2011</b:ThesisType>
    <b:ShortTitle>Kommentarband Verbändevereinbarung Strom II plus</b:ShortTitle>
    <b:Author>
      <b:Author>
        <b:Corporate>VDN</b:Corporate>
      </b:Author>
    </b:Author>
    <b:InternetSiteTitle>online über http://www.lew.de/CLP/DOWNLOADS/GESETZE/KOMMENTARBAND_VV2PLUS.PDF</b:InternetSiteTitle>
    <b:DayAccessed>20.04.2011</b:DayAccessed>
    <b:RefOrder>39</b:RefOrder>
  </b:Source>
  <b:Source>
    <b:Tag>VDE10</b:Tag>
    <b:SourceType>DocumentFromInternetSite</b:SourceType>
    <b:Guid>{A8E9E3B1-15B6-4C2D-970E-39A07733E93D}</b:Guid>
    <b:Title>Smart Energy 2020 - vom Smart Metering zum Smart Grid</b:Title>
    <b:Year>März 2010</b:Year>
    <b:Pages>online über http://www.vde.com</b:Pages>
    <b:ThesisType>01.07.2010</b:ThesisType>
    <b:ShortTitle>Smart Energy 2020 - vom Smart Metering zum Smart Grid</b:ShortTitle>
    <b:Author>
      <b:Author>
        <b:Corporate>VDE</b:Corporate>
      </b:Author>
    </b:Author>
    <b:InternetSiteTitle>online über http://www.vde.com</b:InternetSiteTitle>
    <b:DayAccessed>01.07.2010</b:DayAccessed>
    <b:RefOrder>40</b:RefOrder>
  </b:Source>
  <b:Source>
    <b:Tag>VDE08</b:Tag>
    <b:SourceType>Report</b:SourceType>
    <b:Guid>{F5E81C84-0F0E-4FB7-8C4E-D3670463F7B0}</b:Guid>
    <b:Title>VDE Studie: Smart Distribution 2020 - Virtuelle Kraftwerke in Verteilungsnetzen</b:Title>
    <b:Year>Juli 2008</b:Year>
    <b:Pages>online über http://www.e-energie.info/documents/VDE_Studie_Smart_Distribution.pdf</b:Pages>
    <b:ThesisType>06.07.2010</b:ThesisType>
    <b:ShortTitle>VDE Studie: Smart Distribution 2020 - Virtuelle Kraftwerke in Verteilungsnetzen</b:ShortTitle>
    <b:RefOrder>41</b:RefOrder>
  </b:Source>
  <b:Source>
    <b:Tag>Urt1</b:Tag>
    <b:SourceType>Case</b:SourceType>
    <b:Guid>{34ACB4D8-6C4E-4A76-BA61-88FF6AE56F27}</b:Guid>
    <b:Title>Urt. vom 13.11.2009 - 90 O 77/08</b:Title>
    <b:Court>LG Köln, </b:Court>
    <b:RefOrder>42</b:RefOrder>
  </b:Source>
  <b:Source>
    <b:Tag>Urt</b:Tag>
    <b:SourceType>Case</b:SourceType>
    <b:Guid>{453FA010-C848-4CC6-A36D-49B15A36D562}</b:Guid>
    <b:Title>NJW-RR 2010, 407</b:Title>
    <b:Court>AG Berlin-Mitte</b:Court>
    <b:RefOrder>43</b:RefOrder>
  </b:Source>
  <b:Source>
    <b:Tag>Unb07</b:Tag>
    <b:SourceType>ArticleInAPeriodical</b:SourceType>
    <b:Guid>{0A8B04C0-EDDA-4CEB-9038-FD0234580267}</b:Guid>
    <b:Title>Vertrag und Haftung nach der Liberalisierung des Strommarktes - Privatautonome Gestaltung im regulierten Schuldrecht</b:Title>
    <b:Author>
      <b:Author>
        <b:NameList>
          <b:Person>
            <b:Last>Unberath</b:Last>
            <b:First>Hannes</b:First>
          </b:Person>
          <b:Person>
            <b:Last>Fricke</b:Last>
            <b:First>Norman</b:First>
          </b:Person>
        </b:NameList>
      </b:Author>
    </b:Author>
    <b:PeriodicalTitle>NJW</b:PeriodicalTitle>
    <b:Year>2007</b:Year>
    <b:Pages>3601</b:Pages>
    <b:RefOrder>44</b:RefOrder>
  </b:Source>
  <b:Source>
    <b:Tag>ULD09</b:Tag>
    <b:SourceType>Report</b:SourceType>
    <b:Guid>{C9758237-DF7E-4198-8DC2-142E99A2EBBF}</b:Guid>
    <b:Title>ULD Gutachten</b:Title>
    <b:Year>Stand 25.09.2009</b:Year>
    <b:Pages>online über https://www.datenschutzzentrum.de/smartmeter/</b:Pages>
    <b:ThesisType>01.07.2010</b:ThesisType>
    <b:ShortTitle>ULD Gutachten</b:ShortTitle>
    <b:RefOrder>45</b:RefOrder>
  </b:Source>
  <b:Source>
    <b:Tag>Tru06</b:Tag>
    <b:SourceType>ArticleInAPeriodical</b:SourceType>
    <b:Guid>{4F042234-EB14-47D1-B049-A86B1625EC3E}</b:Guid>
    <b:Author>
      <b:Author>
        <b:NameList>
          <b:Person>
            <b:Last>Trute</b:Last>
            <b:First>Hans-Heinrich</b:First>
          </b:Person>
          <b:Person>
            <b:Last>Broemel</b:Last>
            <b:First>Roland</b:First>
          </b:Person>
        </b:NameList>
      </b:Author>
    </b:Author>
    <b:Title>Die Regulierung des Zugangs in den Netzwirtschaften</b:Title>
    <b:PeriodicalTitle>ZHR</b:PeriodicalTitle>
    <b:Year>170 (2006)</b:Year>
    <b:Pages>706</b:Pages>
    <b:RefOrder>46</b:RefOrder>
  </b:Source>
  <b:Source>
    <b:Tag>Tra94</b:Tag>
    <b:SourceType>Book</b:SourceType>
    <b:Guid>{176A2F91-7592-4243-990E-1F471AE9A32F}</b:Guid>
    <b:Title>Geschichte des gesetzlichen Meßwesens und ausführliches Literaturverzeichnis zur historischen Metrologie</b:Title>
    <b:Year>1994</b:Year>
    <b:Author>
      <b:Author>
        <b:NameList>
          <b:Person>
            <b:Last>Trapp</b:Last>
            <b:First>Wolfgang</b:First>
          </b:Person>
        </b:NameList>
      </b:Author>
      <b:Editor>
        <b:NameList>
          <b:Person>
            <b:Last>Bundesanstalt</b:Last>
            <b:First>Physikalisch-Technische</b:First>
          </b:Person>
        </b:NameList>
      </b:Editor>
    </b:Author>
    <b:City>Braunschweig</b:City>
    <b:Publisher>Wirtschaftsverlag NW</b:Publisher>
    <b:ShortTitle>Geschichte des gesetzlichen Meßwesens</b:ShortTitle>
    <b:RefOrder>47</b:RefOrder>
  </b:Source>
  <b:Source>
    <b:Tag>Töb83</b:Tag>
    <b:SourceType>Book</b:SourceType>
    <b:Guid>{8E09E58F-C6B7-468E-8B83-2E8A4105C194}</b:Guid>
    <b:Author>
      <b:Author>
        <b:NameList>
          <b:Person>
            <b:Last>Többen</b:Last>
            <b:First>Helmut</b:First>
          </b:Person>
        </b:NameList>
      </b:Author>
    </b:Author>
    <b:Title>Eichrechtliche Aspekte beim Smart Metering</b:Title>
    <b:Year>16. GMA/ITG-Fach­ta­gung Sen­so­ren und Mess­sys­te­me 2012, Proceedings, S. 683</b:Year>
    <b:ShortTitle>Eichrechtliche Aspekte beim Smart Metering</b:ShortTitle>
    <b:RefOrder>48</b:RefOrder>
  </b:Source>
  <b:Source>
    <b:Tag>Tim05</b:Tag>
    <b:SourceType>ArticleInAPeriodical</b:SourceType>
    <b:Guid>{5A98FAFC-E4B8-40AD-A1D9-A58257C70C40}</b:Guid>
    <b:Author>
      <b:Author>
        <b:NameList>
          <b:Person>
            <b:Last>Timme</b:Last>
            <b:First>Michael</b:First>
          </b:Person>
        </b:NameList>
      </b:Author>
    </b:Author>
    <b:Title>Girovertrag - Anscheinsbeweis bei Missbrauch von EC-Karten</b:Title>
    <b:PeriodicalTitle>MDR</b:PeriodicalTitle>
    <b:Year>2005</b:Year>
    <b:Pages>304</b:Pages>
    <b:RefOrder>49</b:RefOrder>
  </b:Source>
  <b:Source>
    <b:Tag>SyM09</b:Tag>
    <b:SourceType>Report</b:SourceType>
    <b:Guid>{F4F20671-8FF2-4FA5-8CB4-6F86D40AE7FE}</b:Guid>
    <b:Title>SyM2 Pflichtenheft Synchronous Modular Meter</b:Title>
    <b:Year>Stand 06.10.2009</b:Year>
    <b:ShortTitle>SyM2 Pflichtenheft</b:ShortTitle>
    <b:Pages>online über http://www.vde.com/de/fnn/extras/sym2/infomaterial/documents/sym2_ph_103_091006.pdf</b:Pages>
    <b:ThesisType>24.05.2011</b:ThesisType>
    <b:RefOrder>50</b:RefOrder>
  </b:Source>
  <b:Source>
    <b:Tag>Swit9</b:Tag>
    <b:SourceType>ArticleInAPeriodical</b:SourceType>
    <b:Guid>{D6D586F1-D829-489A-A3E1-455D853C381C}</b:Guid>
    <b:Author>
      <b:Author>
        <b:NameList>
          <b:Person>
            <b:Last>Swider</b:Last>
            <b:First>Derk</b:First>
            <b:Middle>Jan</b:Middle>
          </b:Person>
        </b:NameList>
      </b:Author>
    </b:Author>
    <b:Title>Wettbewerb am deutschen Regelenergiemarkt</b:Title>
    <b:PeriodicalTitle>ET</b:PeriodicalTitle>
    <b:Year>2007, Heft 9</b:Year>
    <b:Pages>32</b:Pages>
    <b:RefOrder>51</b:RefOrder>
  </b:Source>
  <b:Source>
    <b:Tag>Stu10</b:Tag>
    <b:SourceType>Report</b:SourceType>
    <b:Guid>{87E976BA-AC24-4679-9FFE-E46323E48310}</b:Guid>
    <b:Title>Studie: Fraunhofer IAO: Elektromobilität - Herausforderungen für Industrie und öffentliche Hand</b:Title>
    <b:Year>2010</b:Year>
    <b:ShortTitle>Studie: Fraunhofer IAO: Elektromobilität - Herausforderungen für Industrie und öffentliche Hand</b:ShortTitle>
    <b:Pages>online über http://www.iao.fraunhofer.de/images/downloads/elektromobilitaet.pdf</b:Pages>
    <b:ThesisType>01.02.2011</b:ThesisType>
    <b:RefOrder>52</b:RefOrder>
  </b:Source>
  <b:Source>
    <b:Tag>Stu05</b:Tag>
    <b:SourceType>ArticleInAPeriodical</b:SourceType>
    <b:Guid>{C067150D-B2D0-4669-9635-99B06913EB11}</b:Guid>
    <b:Author>
      <b:Author>
        <b:NameList>
          <b:Person>
            <b:Last>Stumpf</b:Last>
            <b:First>Cordula</b:First>
          </b:Person>
          <b:Person>
            <b:Last>Gabler</b:Last>
            <b:First>Andreas</b:First>
          </b:Person>
        </b:NameList>
      </b:Author>
    </b:Author>
    <b:Title>Netzzugang, Netznutzungsentgelte und Regulierung in Energienetzen nach der Energierechtsnovelle</b:Title>
    <b:PeriodicalTitle>NJW</b:PeriodicalTitle>
    <b:Year>2005</b:Year>
    <b:Pages>3174</b:Pages>
    <b:RefOrder>53</b:RefOrder>
  </b:Source>
  <b:Source>
    <b:Tag>Str05</b:Tag>
    <b:SourceType>ArticleInAPeriodical</b:SourceType>
    <b:Guid>{D21EC083-904C-4BFB-836C-D9D8BDBF7633}</b:Guid>
    <b:Title>Arealnetze und Objektnetze</b:Title>
    <b:Year>2005, Heft 10</b:Year>
    <b:Author>
      <b:Author>
        <b:NameList>
          <b:Person>
            <b:Last>Strohe</b:Last>
            <b:First>Dirk</b:First>
          </b:Person>
        </b:NameList>
      </b:Author>
    </b:Author>
    <b:PeriodicalTitle>ET</b:PeriodicalTitle>
    <b:Pages>747</b:Pages>
    <b:RefOrder>54</b:RefOrder>
  </b:Source>
  <b:Source>
    <b:Tag>Ste11</b:Tag>
    <b:SourceType>Report</b:SourceType>
    <b:Guid>{F5E5A673-EBC7-41FE-BF4F-47965670538C}</b:Guid>
    <b:Title>Stellungnahme des Unabhängigen Landeszentrums für Datenschutz Schleswig-Holstein (ULD) zum Gesetzentwurf der Bundesregierung eines Gesetzes zur Neuregelung energiewirtschaftlicher Vorschriften (BR-Drs. 343/11)</b:Title>
    <b:Year>10.06.2011</b:Year>
    <b:Pages>https://www.datenschutzzentrum.de/smartmeter/20110615-smartmeterregelung.htm</b:Pages>
    <b:ThesisType>25.10.2011</b:ThesisType>
    <b:ShortTitle>Stellungnahme ULD</b:ShortTitle>
    <b:RefOrder>55</b:RefOrder>
  </b:Source>
  <b:Source>
    <b:Tag>Ste08</b:Tag>
    <b:SourceType>BookSection</b:SourceType>
    <b:Guid>{3A0339BE-0EA6-419A-A86C-DDCE1F9FE39D}</b:Guid>
    <b:Author>
      <b:Editor>
        <b:NameList>
          <b:Person>
            <b:Last>Stelkens</b:Last>
            <b:First>Paul</b:First>
          </b:Person>
          <b:Person>
            <b:Last>Bonk</b:Last>
            <b:First>Heinz</b:First>
            <b:Middle>Joachim</b:Middle>
          </b:Person>
          <b:Person>
            <b:Last>Sachs</b:Last>
            <b:First>Michael</b:First>
          </b:Person>
        </b:NameList>
      </b:Editor>
    </b:Author>
    <b:Title>Verwaltungsverfahrensgesetz</b:Title>
    <b:Year>7. Auflage 2008</b:Year>
    <b:City>München</b:City>
    <b:ShortTitle>VwVfG</b:ShortTitle>
    <b:RefOrder>56</b:RefOrder>
  </b:Source>
  <b:Source>
    <b:Tag>Ste</b:Tag>
    <b:SourceType>ArticleInAPeriodical</b:SourceType>
    <b:Guid>{EAA9BD74-AAAB-4028-BAB7-E19FA7867161}</b:Guid>
    <b:Author>
      <b:Author>
        <b:NameList>
          <b:Person>
            <b:Last>Steidle</b:Last>
            <b:First>Roland</b:First>
          </b:Person>
        </b:NameList>
      </b:Author>
    </b:Author>
    <b:Title>Dem Datenschutz besondere Aufmerksamkeit widmen - Kommerzielle Nutzung von Smart-Meter-Daten</b:Title>
    <b:PeriodicalTitle>ew</b:PeriodicalTitle>
    <b:Year>2/2010</b:Year>
    <b:Pages>8</b:Pages>
    <b:RefOrder>57</b:RefOrder>
  </b:Source>
  <b:Source>
    <b:Tag>Spi04</b:Tag>
    <b:SourceType>ArticleInAPeriodical</b:SourceType>
    <b:Guid>{FBD3FE3E-DF55-41A1-9E9E-EF16C08FB11B}</b:Guid>
    <b:Author>
      <b:Author>
        <b:NameList>
          <b:Person>
            <b:Last>Spindler</b:Last>
            <b:First>Gerald</b:First>
          </b:Person>
        </b:NameList>
      </b:Author>
    </b:Author>
    <b:Title>Haftungsrisiken und Beweislast bei ec-Karten</b:Title>
    <b:PeriodicalTitle>BB</b:PeriodicalTitle>
    <b:Year>2004</b:Year>
    <b:Pages>2766</b:Pages>
    <b:RefOrder>58</b:RefOrder>
  </b:Source>
  <b:Source>
    <b:Tag>Sko02</b:Tag>
    <b:SourceType>Book</b:SourceType>
    <b:Guid>{35E557A6-E4EE-4DE3-9786-A9763C41AB91}</b:Guid>
    <b:Author>
      <b:Author>
        <b:NameList>
          <b:Person>
            <b:Last>Skouris</b:Last>
            <b:First>Panagiotis</b:First>
          </b:Person>
        </b:NameList>
      </b:Author>
    </b:Author>
    <b:Title>Die Begründung von Rechtsnormen</b:Title>
    <b:Year>1. Auflage 2002</b:Year>
    <b:ShortTitle>Die Begründung von Rechtsnormen</b:ShortTitle>
    <b:City>Baden-Baden</b:City>
    <b:RefOrder>59</b:RefOrder>
  </b:Source>
  <b:Source>
    <b:Tag>Ska10</b:Tag>
    <b:SourceType>ArticleInAPeriodical</b:SourceType>
    <b:Guid>{3FC298F8-772C-47D4-9144-9A474E463519}</b:Guid>
    <b:Author>
      <b:Author>
        <b:NameList>
          <b:Person>
            <b:Last>Skauradszun</b:Last>
            <b:First>Dominik</b:First>
          </b:Person>
          <b:Person>
            <b:Last>Rohr</b:Last>
            <b:First>Stephan</b:First>
          </b:Person>
        </b:NameList>
      </b:Author>
    </b:Author>
    <b:Title>Netzanbindung von rückspeisenden Aufzugsanlagen</b:Title>
    <b:PeriodicalTitle>ZNER</b:PeriodicalTitle>
    <b:Year>2010</b:Year>
    <b:Pages>468</b:Pages>
    <b:RefOrder>60</b:RefOrder>
  </b:Source>
  <b:Source>
    <b:Tag>Ser12</b:Tag>
    <b:SourceType>BookSection</b:SourceType>
    <b:Guid>{9DA18616-8DA0-4C96-B620-A53BDFB4F67C}</b:Guid>
    <b:Title>Smart Energy - Wandel zu einem nachhaltigen Energiesystem</b:Title>
    <b:Year>2012</b:Year>
    <b:City>Heidelberg</b:City>
    <b:Author>
      <b:Editor>
        <b:NameList>
          <b:Person>
            <b:Last>Servatius</b:Last>
            <b:First>Hans-Gerd</b:First>
          </b:Person>
          <b:Person>
            <b:Last>Schneidewind</b:Last>
            <b:First>Uwe</b:First>
          </b:Person>
          <b:Person>
            <b:Last>Rohlfing</b:Last>
            <b:First>Dirk</b:First>
          </b:Person>
        </b:NameList>
      </b:Editor>
    </b:Author>
    <b:ShortTitle>Smart Energy</b:ShortTitle>
    <b:RefOrder>61</b:RefOrder>
  </b:Source>
  <b:Source>
    <b:Tag>Sch90</b:Tag>
    <b:SourceType>ArticleInAPeriodical</b:SourceType>
    <b:Guid>{D16A9403-41EE-4B9B-B55A-512AC131FE5A}</b:Guid>
    <b:Title>Formeller oder materieller Verwaltungsaktsbegriff?</b:Title>
    <b:Year>1990</b:Year>
    <b:Author>
      <b:Author>
        <b:NameList>
          <b:Person>
            <b:Last>Schenke</b:Last>
            <b:First>Wolf-Rüdiger</b:First>
          </b:Person>
        </b:NameList>
      </b:Author>
    </b:Author>
    <b:PeriodicalTitle>NVwZ</b:PeriodicalTitle>
    <b:Pages>1009</b:Pages>
    <b:RefOrder>62</b:RefOrder>
  </b:Source>
  <b:Source>
    <b:Tag>Sch121</b:Tag>
    <b:SourceType>ArticleInAPeriodical</b:SourceType>
    <b:Guid>{0A4101CB-1C45-41D5-989F-59AD76ACE7AC}</b:Guid>
    <b:Author>
      <b:Author>
        <b:NameList>
          <b:Person>
            <b:Last>Schulte am Hülse</b:Last>
            <b:First>Ulrich</b:First>
          </b:Person>
          <b:Person>
            <b:Last>Welchering</b:Last>
            <b:First>Peter</b:First>
          </b:Person>
        </b:NameList>
      </b:Author>
    </b:Author>
    <b:Title>Der Anscheinsbeweis bei missbräuchlicher Bargeldabhebung an Geldautomaten mit Karte und Geheimzahl</b:Title>
    <b:PeriodicalTitle>NJW</b:PeriodicalTitle>
    <b:Year>2012</b:Year>
    <b:Pages>1262</b:Pages>
    <b:RefOrder>63</b:RefOrder>
  </b:Source>
  <b:Source>
    <b:Tag>Sch12</b:Tag>
    <b:SourceType>BookSection</b:SourceType>
    <b:Guid>{183546C4-7D6F-4C20-A2AA-D5291844AC0A}</b:Guid>
    <b:Author>
      <b:Editor>
        <b:NameList>
          <b:Person>
            <b:Last>Schulze u.a.</b:Last>
            <b:First>Reiner</b:First>
          </b:Person>
        </b:NameList>
      </b:Editor>
    </b:Author>
    <b:Title>Bürgerliches Gesetzbuch - Handkommentar</b:Title>
    <b:Year>7. Auflage 2012</b:Year>
    <b:City>Baden-Baden</b:City>
    <b:ShortTitle>BGB</b:ShortTitle>
    <b:RefOrder>64</b:RefOrder>
  </b:Source>
  <b:Source>
    <b:Tag>Sch112</b:Tag>
    <b:SourceType>BookSection</b:SourceType>
    <b:Guid>{B4BA27D8-C505-4DC5-9F15-3CD16DB6AFD2}</b:Guid>
    <b:Author>
      <b:Editor>
        <b:NameList>
          <b:Person>
            <b:Last>Schoch</b:Last>
            <b:First>Friedrich</b:First>
          </b:Person>
          <b:Person>
            <b:Last>Schmidt-Aßmann</b:Last>
            <b:First>Eberhard</b:First>
          </b:Person>
          <b:Person>
            <b:Last>Pietzner</b:Last>
            <b:First>Rainer</b:First>
          </b:Person>
        </b:NameList>
      </b:Editor>
    </b:Author>
    <b:Title>Verwaltungsgerichtsordnung Kommentar</b:Title>
    <b:Year>Stand September 2011</b:Year>
    <b:City>München</b:City>
    <b:ShortTitle>VwGO</b:ShortTitle>
    <b:RefOrder>65</b:RefOrder>
  </b:Source>
  <b:Source>
    <b:Tag>Sch111</b:Tag>
    <b:SourceType>BookSection</b:SourceType>
    <b:Guid>{AF82DC1F-72B2-4EE6-9E3A-252FC9EC604E}</b:Guid>
    <b:Author>
      <b:Editor>
        <b:NameList>
          <b:Person>
            <b:Last>Schimansky</b:Last>
            <b:First>Herbert</b:First>
          </b:Person>
          <b:Person>
            <b:Last>Bunte</b:Last>
            <b:First>Hermann-Josef</b:First>
          </b:Person>
          <b:Person>
            <b:Last>Lwowski</b:Last>
            <b:First>Hans-Jürgen</b:First>
          </b:Person>
        </b:NameList>
      </b:Editor>
    </b:Author>
    <b:Title>Bankrechts-Handbuch</b:Title>
    <b:Year>4. Auflage 2011</b:Year>
    <b:City>München</b:City>
    <b:ShortTitle>Bankrechts-Handbuch</b:ShortTitle>
    <b:RefOrder>66</b:RefOrder>
  </b:Source>
  <b:Source>
    <b:Tag>Sch11</b:Tag>
    <b:SourceType>ArticleInAPeriodical</b:SourceType>
    <b:Guid>{E96C1C9B-5447-4C19-BA7F-6661D9CE4F5F}</b:Guid>
    <b:Author>
      <b:Author>
        <b:NameList>
          <b:Person>
            <b:Last>Schalle</b:Last>
            <b:First>Heidrun</b:First>
          </b:Person>
        </b:NameList>
      </b:Author>
    </b:Author>
    <b:Title>Geschlossene Verteilernetze und Kundenanlagen - neue Kategorien im EnWG</b:Title>
    <b:PeriodicalTitle>ZNER</b:PeriodicalTitle>
    <b:Year>2011</b:Year>
    <b:Pages>406</b:Pages>
    <b:RefOrder>67</b:RefOrder>
  </b:Source>
  <b:Source>
    <b:Tag>Sch103</b:Tag>
    <b:SourceType>ArticleInAPeriodical</b:SourceType>
    <b:Guid>{87C7D2F3-7241-4079-A000-2FC73F74A74F}</b:Guid>
    <b:Author>
      <b:Author>
        <b:NameList>
          <b:Person>
            <b:Last>Schulte am Hülse</b:Last>
            <b:First>Ulrich</b:First>
          </b:Person>
          <b:Person>
            <b:Last>Klabunde</b:Last>
            <b:First>Sebastian</b:First>
          </b:Person>
        </b:NameList>
      </b:Author>
    </b:Author>
    <b:Title>Abgreifen von Bankzugangsdaten im Onlinebanking - Vorgehensweise der Täter und neuezivilrechtliche Haftungsfragen des BGB</b:Title>
    <b:PeriodicalTitle>MMR</b:PeriodicalTitle>
    <b:Year>2010</b:Year>
    <b:Pages>84</b:Pages>
    <b:RefOrder>68</b:RefOrder>
  </b:Source>
  <b:Source>
    <b:Tag>Sch102</b:Tag>
    <b:SourceType>ArticleInAPeriodical</b:SourceType>
    <b:Guid>{8099AE86-2FED-41F7-9997-FC9E0229A320}</b:Guid>
    <b:Author>
      <b:Author>
        <b:NameList>
          <b:Person>
            <b:Last>Scheibengruber</b:Last>
            <b:First>Christian</b:First>
          </b:Person>
        </b:NameList>
      </b:Author>
    </b:Author>
    <b:Title>Zur Zulässigkeit und Sinnhaftigkeit der Verlagerung des Missbrauchsrisikos bei Zahlungsdiensten auf die Nutzer - Ein Beitrag zur Analyse der Umsetzung der Zahlungsdiensterichtlinie in das BGB und die AGB der Banken</b:Title>
    <b:PeriodicalTitle>BKR</b:PeriodicalTitle>
    <b:Year>2010</b:Year>
    <b:Pages>15</b:Pages>
    <b:RefOrder>69</b:RefOrder>
  </b:Source>
  <b:Source>
    <b:Tag>Sch101</b:Tag>
    <b:SourceType>ArticleInAPeriodical</b:SourceType>
    <b:Guid>{6BDFEF87-F80B-4B7C-8336-397FF47872FD}</b:Guid>
    <b:Title>Konfiguration einer Ladeinfrastruktur für Elektrofahrzeuge</b:Title>
    <b:Author>
      <b:Author>
        <b:NameList>
          <b:Person>
            <b:Last>Schenk</b:Last>
            <b:First>Michael</b:First>
          </b:Person>
          <b:Person>
            <b:Last>Seidel</b:Last>
            <b:First>Holger</b:First>
          </b:Person>
          <b:Person>
            <b:Last>Ebert</b:Last>
            <b:First>Ramon</b:First>
          </b:Person>
        </b:NameList>
      </b:Author>
    </b:Author>
    <b:PeriodicalTitle>Industrie Management 26</b:PeriodicalTitle>
    <b:Year>6/2010</b:Year>
    <b:Pages>53</b:Pages>
    <b:RefOrder>70</b:RefOrder>
  </b:Source>
  <b:Source>
    <b:Tag>Sch10</b:Tag>
    <b:SourceType>BookSection</b:SourceType>
    <b:Guid>{5B6AC654-C3CA-42BB-918A-A7A9EE62D8D9}</b:Guid>
    <b:Title>Strafgesetzbuch Kommentar</b:Title>
    <b:Year>28. Auflage 2010</b:Year>
    <b:ShortTitle>StGB</b:ShortTitle>
    <b:City>München</b:City>
    <b:Author>
      <b:Editor>
        <b:NameList>
          <b:Person>
            <b:Last>Schönke</b:Last>
            <b:First>Adolf</b:First>
          </b:Person>
          <b:Person>
            <b:Last>Schröder</b:Last>
            <b:First>Horst</b:First>
          </b:Person>
        </b:NameList>
      </b:Editor>
    </b:Author>
    <b:RefOrder>71</b:RefOrder>
  </b:Source>
  <b:Source>
    <b:Tag>Sch082</b:Tag>
    <b:SourceType>BookSection</b:SourceType>
    <b:Guid>{7E1F8D07-5C72-4074-A6D4-190C34705416}</b:Guid>
    <b:Title>Recht der Energiewirtschaft</b:Title>
    <b:Year>3. Auflage 2011</b:Year>
    <b:City>München</b:City>
    <b:Author>
      <b:Editor>
        <b:NameList>
          <b:Person>
            <b:Last>Schneider</b:Last>
            <b:First>Jens-Peter</b:First>
          </b:Person>
          <b:Person>
            <b:Last>Theobald</b:Last>
            <b:First>Christian</b:First>
          </b:Person>
        </b:NameList>
      </b:Editor>
    </b:Author>
    <b:ShortTitle>Recht der Energiewirtschaft</b:ShortTitle>
    <b:RefOrder>72</b:RefOrder>
  </b:Source>
  <b:Source>
    <b:Tag>Sch081</b:Tag>
    <b:SourceType>ArticleInAPeriodical</b:SourceType>
    <b:Guid>{5290A9EE-A709-45EE-B401-B594B8A9D404}</b:Guid>
    <b:Title>Das Objektnetz ist tot. Es lebe das Industrienetz</b:Title>
    <b:Year>2008</b:Year>
    <b:Author>
      <b:Author>
        <b:NameList>
          <b:Person>
            <b:Last>Scholtka</b:Last>
            <b:First>Boris</b:First>
          </b:Person>
          <b:Person>
            <b:Last>Helmes</b:Last>
            <b:First>Sebastian</b:First>
          </b:Person>
        </b:NameList>
      </b:Author>
    </b:Author>
    <b:PeriodicalTitle>NVwZ</b:PeriodicalTitle>
    <b:Pages>1310</b:Pages>
    <b:RefOrder>73</b:RefOrder>
  </b:Source>
  <b:Source>
    <b:Tag>Sch08</b:Tag>
    <b:SourceType>ArticleInAPeriodical</b:SourceType>
    <b:Guid>{65B9ECDA-378F-48A9-A5B7-BCC459136DD7}</b:Guid>
    <b:Author>
      <b:Author>
        <b:NameList>
          <b:Person>
            <b:Last>Scholtka</b:Last>
            <b:First>Boris</b:First>
          </b:Person>
          <b:Person>
            <b:Last>Baumbach</b:Last>
            <b:First>Antje</b:First>
          </b:Person>
        </b:NameList>
      </b:Author>
    </b:Author>
    <b:Title>Die Entwicklung des Energierechts seit Inkrafttreten des EnWG 2005</b:Title>
    <b:PeriodicalTitle>NJW</b:PeriodicalTitle>
    <b:Year>2008</b:Year>
    <b:Pages>1128</b:Pages>
    <b:RefOrder>74</b:RefOrder>
  </b:Source>
  <b:Source>
    <b:Tag>Sch071</b:Tag>
    <b:SourceType>Book</b:SourceType>
    <b:Guid>{55A649D2-1ABF-4764-9C45-7D18CA041091}</b:Guid>
    <b:Title>Eichgesetz und Eichordnung</b:Title>
    <b:Author>
      <b:Author>
        <b:NameList>
          <b:Person>
            <b:Last>Schulz</b:Last>
            <b:First>Wilfried</b:First>
          </b:Person>
        </b:NameList>
      </b:Author>
    </b:Author>
    <b:Year>4. Auflage 2007</b:Year>
    <b:City>Braunschweig</b:City>
    <b:ShortTitle>Eichgesetz und Eichordnung</b:ShortTitle>
    <b:RefOrder>75</b:RefOrder>
  </b:Source>
  <b:Source>
    <b:Tag>Sch07</b:Tag>
    <b:SourceType>ArticleInAPeriodical</b:SourceType>
    <b:Guid>{F08E3784-2A23-442D-9C9B-FB7A26E95520}</b:Guid>
    <b:Title>Die automatisierte Ausgestaltung des Stromnetzzugangs durch die Bundesnetzagentur - Bedeutung und Auswirkungen des Beschlusses BK6 - 06 - 009 vom 11.07.2006</b:Title>
    <b:Year>2007</b:Year>
    <b:Pages>25</b:Pages>
    <b:Author>
      <b:Author>
        <b:NameList>
          <b:Person>
            <b:Last>Schau</b:Last>
            <b:First>Götz-Friedrich</b:First>
          </b:Person>
        </b:NameList>
      </b:Author>
    </b:Author>
    <b:PeriodicalTitle>ZNER</b:PeriodicalTitle>
    <b:RefOrder>76</b:RefOrder>
  </b:Source>
  <b:Source>
    <b:Tag>Sch062</b:Tag>
    <b:SourceType>ArticleInAPeriodical</b:SourceType>
    <b:Guid>{9F8D18A3-05CC-46A5-9A75-4EC2C895D0BF}</b:Guid>
    <b:Title>Neustrukturierung der Bundesnetzagentur - Verfassungs- und verwaltungsrechtliche Probleme</b:Title>
    <b:Author>
      <b:Author>
        <b:NameList>
          <b:Person>
            <b:Last>Schmidt</b:Last>
            <b:First>Christian</b:First>
          </b:Person>
        </b:NameList>
      </b:Author>
    </b:Author>
    <b:PeriodicalTitle>NVwZ</b:PeriodicalTitle>
    <b:Year>2006</b:Year>
    <b:Pages>907</b:Pages>
    <b:RefOrder>77</b:RefOrder>
  </b:Source>
  <b:Source>
    <b:Tag>Sch061</b:Tag>
    <b:SourceType>ArticleInAPeriodical</b:SourceType>
    <b:Guid>{390DF611-8C3C-4616-B5E4-18A20BBC2EC3}</b:Guid>
    <b:Author>
      <b:Author>
        <b:NameList>
          <b:Person>
            <b:Last>Schroeder-Czaja</b:Last>
            <b:First>Hanna</b:First>
          </b:Person>
          <b:Person>
            <b:Last>Jacobshagen</b:Last>
            <b:First>Ulf</b:First>
          </b:Person>
        </b:NameList>
      </b:Author>
    </b:Author>
    <b:Title>Objekt- und Arealnetze (Teil 2) Privilegierung der Objektnetze gemäß § 110 EnWG</b:Title>
    <b:PeriodicalTitle>IR</b:PeriodicalTitle>
    <b:Year>2006</b:Year>
    <b:Pages>78</b:Pages>
    <b:RefOrder>78</b:RefOrder>
  </b:Source>
  <b:Source>
    <b:Tag>Sch06</b:Tag>
    <b:SourceType>ArticleInAPeriodical</b:SourceType>
    <b:Guid>{EA53AB31-20C3-4BDF-8B1C-2E68D4720E6E}</b:Guid>
    <b:Author>
      <b:Author>
        <b:NameList>
          <b:Person>
            <b:Last>Schroeder-Czaja</b:Last>
            <b:First>Hanna</b:First>
          </b:Person>
          <b:Person>
            <b:Last>Jacobshagen</b:Last>
            <b:First>Ulf</b:First>
          </b:Person>
        </b:NameList>
      </b:Author>
    </b:Author>
    <b:Title>Objekt- und Arealnetze (Teil 1): Neue Netzbegriffe vor dem Hintergrund des EnWG 2005</b:Title>
    <b:PeriodicalTitle>IR</b:PeriodicalTitle>
    <b:Year>2006</b:Year>
    <b:Pages>50</b:Pages>
    <b:RefOrder>79</b:RefOrder>
  </b:Source>
  <b:Source>
    <b:Tag>Sch05</b:Tag>
    <b:SourceType>ArticleInAPeriodical</b:SourceType>
    <b:Guid>{C2E72435-3BF0-47E7-A85E-04CC61BD6525}</b:Guid>
    <b:Title>Von der RegTP zur Bundesnetzagentur: Der organisationsrechtliche Rahmen der neuen Regulierungsbehörde</b:Title>
    <b:Author>
      <b:Author>
        <b:NameList>
          <b:Person>
            <b:Last>Schmidt</b:Last>
            <b:First>Christian</b:First>
          </b:Person>
        </b:NameList>
      </b:Author>
    </b:Author>
    <b:PeriodicalTitle>DÖV</b:PeriodicalTitle>
    <b:Year>2005</b:Year>
    <b:Pages>1025</b:Pages>
    <b:RefOrder>80</b:RefOrder>
  </b:Source>
  <b:Source>
    <b:Tag>Sch04</b:Tag>
    <b:SourceType>Book</b:SourceType>
    <b:Guid>{84DBBF6F-AC48-4FA4-B738-F6DECA255626}</b:Guid>
    <b:Title>Straßenrecht Baden-Württemberg</b:Title>
    <b:Author>
      <b:Author>
        <b:NameList>
          <b:Person>
            <b:Last>Schnebelt</b:Last>
            <b:First>Günter</b:First>
          </b:Person>
          <b:Person>
            <b:Last>Sigel</b:Last>
            <b:First>Karin</b:First>
          </b:Person>
        </b:NameList>
      </b:Author>
    </b:Author>
    <b:Year>2. Auflage 2004</b:Year>
    <b:City>Baden-Baden</b:City>
    <b:ShortTitle>Straßenrecht</b:ShortTitle>
    <b:RefOrder>81</b:RefOrder>
  </b:Source>
  <b:Source>
    <b:Tag>Sch03</b:Tag>
    <b:SourceType>ArticleInAPeriodical</b:SourceType>
    <b:Guid>{A93E871A-225A-4455-91D1-1CFF855E4852}</b:Guid>
    <b:Author>
      <b:Author>
        <b:NameList>
          <b:Person>
            <b:Last>Schmidt</b:Last>
            <b:First>Eike</b:First>
          </b:Person>
        </b:NameList>
      </b:Author>
    </b:Author>
    <b:Title>Die Beweislast in Zivilsachen - Funktionen und Verteilungsregeln</b:Title>
    <b:PeriodicalTitle>JuS</b:PeriodicalTitle>
    <b:Year>2003</b:Year>
    <b:Pages>1007</b:Pages>
    <b:RefOrder>82</b:RefOrder>
  </b:Source>
  <b:Source>
    <b:Tag>Sch02</b:Tag>
    <b:SourceType>ArticleInAPeriodical</b:SourceType>
    <b:Guid>{3E03EEBA-17C7-4391-BCB1-529929F25C52}</b:Guid>
    <b:Title>Elektromobilität in Deutschland - Chancen, Barrieren und Auswirkungen auf das Elektrizitätssystem</b:Title>
    <b:Author>
      <b:Author>
        <b:NameList>
          <b:Person>
            <b:Last>Schill</b:Last>
            <b:First>Wolf-Peter</b:First>
          </b:Person>
        </b:NameList>
      </b:Author>
    </b:Author>
    <b:PeriodicalTitle>DIW - Vierteljahreshefte zur Wirtschaftsforschung</b:PeriodicalTitle>
    <b:Year>79 (2010), 2</b:Year>
    <b:Pages>139</b:Pages>
    <b:RefOrder>83</b:RefOrder>
  </b:Source>
  <b:Source>
    <b:Tag>Sch</b:Tag>
    <b:SourceType>ArticleInAPeriodical</b:SourceType>
    <b:Guid>{6BB70C90-BFB3-4E5E-999C-72E492258647}</b:Guid>
    <b:Author>
      <b:Author>
        <b:NameList>
          <b:Person>
            <b:Last>Keil</b:Last>
            <b:First>Eric</b:First>
          </b:Person>
          <b:Person>
            <b:Last>Schmelzer</b:Last>
            <b:First>Knut</b:First>
          </b:Person>
        </b:NameList>
      </b:Author>
    </b:Author>
    <b:Title>Systemintegration von Elektromobilität, Herausforderung an das Energiewirtschaftsrecht, eine Standortbestimmung – Teil 1</b:Title>
    <b:PeriodicalTitle>ZNER</b:PeriodicalTitle>
    <b:Year>2010</b:Year>
    <b:Pages>461</b:Pages>
    <b:RefOrder>84</b:RefOrder>
  </b:Source>
  <b:Source>
    <b:Tag>Sau11</b:Tag>
    <b:SourceType>Book</b:SourceType>
    <b:Guid>{66AED15C-7CF1-484E-9694-92755A820961}</b:Guid>
    <b:Title>Grundkurs Mobile Kommunikationssysteme - UMTS, HSDPA und LTE, GSM, GPRS und Wireless LAN</b:Title>
    <b:Year>4. Auflage 2011</b:Year>
    <b:City>Wiesbaden</b:City>
    <b:Author>
      <b:Author>
        <b:NameList>
          <b:Person>
            <b:Last>Sauter</b:Last>
            <b:First>Martin</b:First>
          </b:Person>
        </b:NameList>
      </b:Author>
    </b:Author>
    <b:ShortTitle>Grundkurs Mobile Kommunikationssysteme</b:ShortTitle>
    <b:RefOrder>85</b:RefOrder>
  </b:Source>
  <b:Source>
    <b:Tag>Sal11</b:Tag>
    <b:SourceType>ArticleInAPeriodical</b:SourceType>
    <b:Guid>{D23B85E2-8ABF-4F33-A25E-12B9A53C4EE6}</b:Guid>
    <b:Title>Das neue Energiewirtschaftsgesetz 2011</b:Title>
    <b:Author>
      <b:Author>
        <b:NameList>
          <b:Person>
            <b:Last>Salje</b:Last>
            <b:First>Peter</b:First>
          </b:Person>
        </b:NameList>
      </b:Author>
    </b:Author>
    <b:PeriodicalTitle>RdE</b:PeriodicalTitle>
    <b:Year>2011</b:Year>
    <b:Pages>325</b:Pages>
    <b:RefOrder>86</b:RefOrder>
  </b:Source>
  <b:Source>
    <b:Tag>Sal06</b:Tag>
    <b:SourceType>Book</b:SourceType>
    <b:Guid>{0286E2E9-F1EF-4753-AC3F-F25431481997}</b:Guid>
    <b:Title>Energiewirtschaftsgesetz</b:Title>
    <b:Author>
      <b:Author>
        <b:NameList>
          <b:Person>
            <b:Last>Salje</b:Last>
            <b:First>Peter</b:First>
          </b:Person>
        </b:NameList>
      </b:Author>
    </b:Author>
    <b:Year>2006</b:Year>
    <b:City>Köln</b:City>
    <b:ShortTitle>Energiewirtschaftsgesetz</b:ShortTitle>
    <b:RefOrder>87</b:RefOrder>
  </b:Source>
  <b:Source>
    <b:Tag>Sae06</b:Tag>
    <b:SourceType>BookSection</b:SourceType>
    <b:Guid>{1E52B8B5-D832-4BF0-BD07-E373D9E6E6BA}</b:Guid>
    <b:Title>Zivilprozessordnung Handkommentar</b:Title>
    <b:Year>2006</b:Year>
    <b:City>Baden-Baden</b:City>
    <b:Publisher>Nomos Verlagsgesellschaft</b:Publisher>
    <b:Author>
      <b:Editor>
        <b:NameList>
          <b:Person>
            <b:Last>Saenger</b:Last>
            <b:First>Ingo</b:First>
          </b:Person>
        </b:NameList>
      </b:Editor>
    </b:Author>
    <b:ShortTitle>HK-ZPO</b:ShortTitle>
    <b:RefOrder>88</b:RefOrder>
  </b:Source>
  <b:Source>
    <b:Tag>Säc09</b:Tag>
    <b:SourceType>BookSection</b:SourceType>
    <b:Guid>{D504C500-EA06-45B2-80CB-B537C05BFD7C}</b:Guid>
    <b:Author>
      <b:Editor>
        <b:NameList>
          <b:Person>
            <b:Last>Säcker</b:Last>
            <b:First>Franz</b:First>
            <b:Middle>Jürgen</b:Middle>
          </b:Person>
        </b:NameList>
      </b:Editor>
    </b:Author>
    <b:Title>Berliner Kommentar zum Telekommunikationsgesetz</b:Title>
    <b:Year>2. Auflage 2009</b:Year>
    <b:City>Frankfurt am Main</b:City>
    <b:ShortTitle>TKG</b:ShortTitle>
    <b:RefOrder>89</b:RefOrder>
  </b:Source>
  <b:Source>
    <b:Tag>Sac03</b:Tag>
    <b:SourceType>BookSection</b:SourceType>
    <b:Guid>{926DA421-2206-43E5-A682-EEC43B089881}</b:Guid>
    <b:Author>
      <b:Editor>
        <b:NameList>
          <b:Person>
            <b:Last>Sachs</b:Last>
            <b:First>Michael</b:First>
          </b:Person>
        </b:NameList>
      </b:Editor>
    </b:Author>
    <b:Title>Grundgesetz Kommentar</b:Title>
    <b:Year>3. Auflage 2003</b:Year>
    <b:City>München</b:City>
    <b:ShortTitle>Grundgesetz</b:ShortTitle>
    <b:RefOrder>90</b:RefOrder>
  </b:Source>
  <b:Source>
    <b:Tag>Säc</b:Tag>
    <b:SourceType>BookSection</b:SourceType>
    <b:Guid>{C752A8AE-CC29-4DB1-88FF-14A98A9048B2}</b:Guid>
    <b:Author>
      <b:Editor>
        <b:NameList>
          <b:Person>
            <b:Last>Säcker</b:Last>
            <b:First>Franz-Jürgen</b:First>
          </b:Person>
          <b:Person>
            <b:Last>Rixecker</b:Last>
            <b:First>Roland</b:First>
          </b:Person>
        </b:NameList>
      </b:Editor>
    </b:Author>
    <b:Title>Münchner Kommentar zum Bürgerlichen Gesetzbuch Band 4</b:Title>
    <b:Year>5. Auflage 2009</b:Year>
    <b:City>München</b:City>
    <b:ShortTitle>MünchKomm BGB Band 4</b:ShortTitle>
    <b:RefOrder>91</b:RefOrder>
  </b:Source>
  <b:Source>
    <b:Tag>Rüt05</b:Tag>
    <b:SourceType>Book</b:SourceType>
    <b:Guid>{2A86F581-99F4-41E2-A39F-174695AF4023}</b:Guid>
    <b:Author>
      <b:Author>
        <b:NameList>
          <b:Person>
            <b:Last>Rüthers</b:Last>
            <b:First>Bernd</b:First>
          </b:Person>
        </b:NameList>
      </b:Author>
    </b:Author>
    <b:Title>Rechtstheorie</b:Title>
    <b:Year>2. Auflage 2005</b:Year>
    <b:City>München</b:City>
    <b:ShortTitle>Rechtstheorie</b:ShortTitle>
    <b:RefOrder>92</b:RefOrder>
  </b:Source>
  <b:Source>
    <b:Tag>Rup93</b:Tag>
    <b:SourceType>ArticleInAPeriodical</b:SourceType>
    <b:Guid>{422D2A02-C42E-4A18-BE78-4BEEF52BB963}</b:Guid>
    <b:Title>Rechtsverordnungsbefugnis des Deutschen Bundestages?</b:Title>
    <b:Year>1993</b:Year>
    <b:Author>
      <b:Author>
        <b:NameList>
          <b:Person>
            <b:Last>Rupp</b:Last>
            <b:First>Hans</b:First>
            <b:Middle>Heinrich</b:Middle>
          </b:Person>
        </b:NameList>
      </b:Author>
    </b:Author>
    <b:PeriodicalTitle>NVwZ</b:PeriodicalTitle>
    <b:Pages>756</b:Pages>
    <b:RefOrder>93</b:RefOrder>
  </b:Source>
  <b:Source>
    <b:Tag>Rup60</b:Tag>
    <b:SourceType>ArticleInAPeriodical</b:SourceType>
    <b:Guid>{6F8E5FDE-CA7E-420A-B90C-F978E1E6FF02}</b:Guid>
    <b:Author>
      <b:Author>
        <b:NameList>
          <b:Person>
            <b:Last>Rupp</b:Last>
            <b:First>Hans</b:First>
            <b:Middle>Heinrich</b:Middle>
          </b:Person>
        </b:NameList>
      </b:Author>
    </b:Author>
    <b:Title>Zur neuen Verwaltungsgerichtsordnung: Gelöste und ungelöste Probleme (2. Teil)</b:Title>
    <b:PeriodicalTitle>AöR</b:PeriodicalTitle>
    <b:Year>85 (1960)</b:Year>
    <b:Pages>301</b:Pages>
    <b:RefOrder>94</b:RefOrder>
  </b:Source>
  <b:Source>
    <b:Tag>Roß101</b:Tag>
    <b:SourceType>ArticleInAPeriodical</b:SourceType>
    <b:Guid>{4B26A225-FC90-44A0-8EC1-97A95F5DCA0A}</b:Guid>
    <b:Author>
      <b:Author>
        <b:NameList>
          <b:Person>
            <b:Last>Roßnagel</b:Last>
            <b:First>Alexander</b:First>
          </b:Person>
          <b:Person>
            <b:Last>Jandt</b:Last>
            <b:First>Silke</b:First>
          </b:Person>
        </b:NameList>
      </b:Author>
    </b:Author>
    <b:Title>Datenschutzkonformes Energieinformationsnetz</b:Title>
    <b:PeriodicalTitle>DuD</b:PeriodicalTitle>
    <b:Year>2010</b:Year>
    <b:Pages>373</b:Pages>
    <b:RefOrder>95</b:RefOrder>
  </b:Source>
  <b:Source>
    <b:Tag>Roß10</b:Tag>
    <b:SourceType>DocumentFromInternetSite</b:SourceType>
    <b:Guid>{E00C01AF-8F41-46F9-A33A-1AA7E85F6741}</b:Guid>
    <b:Title>Datenschutzfragen eines Energieinformationsnetzes, Rechtsgutachten</b:Title>
    <b:Year>Stand: 26. März 2010</b:Year>
    <b:Author>
      <b:Author>
        <b:NameList>
          <b:Person>
            <b:Last>Roßnagel</b:Last>
            <b:First>Alexander</b:First>
          </b:Person>
          <b:Person>
            <b:Last>Jandt</b:Last>
            <b:First>Silke</b:First>
          </b:Person>
        </b:NameList>
      </b:Author>
    </b:Author>
    <b:ShortTitle>Datenschutzfragen eines Energieinformationsnetzes, Rechtsgutachten</b:ShortTitle>
    <b:InternetSiteTitle>online über http://www.stiftungaktuell.de</b:InternetSiteTitle>
    <b:DayAccessed>01.07.2010</b:DayAccessed>
    <b:RefOrder>96</b:RefOrder>
  </b:Source>
  <b:Source>
    <b:Tag>Roß04</b:Tag>
    <b:SourceType>ArticleInAPeriodical</b:SourceType>
    <b:Guid>{C100D0DC-63CC-46A0-8AC5-50B9EE9A1D3E}</b:Guid>
    <b:Author>
      <b:Author>
        <b:NameList>
          <b:Person>
            <b:Last>Roßnagel</b:Last>
            <b:First>Alexander</b:First>
          </b:Person>
          <b:Person>
            <b:Last>Fischer-Dieskau</b:Last>
            <b:First>Stefanie</b:First>
          </b:Person>
        </b:NameList>
      </b:Author>
    </b:Author>
    <b:Title>Automatisiert erzeugte elektronische Signaturen</b:Title>
    <b:PeriodicalTitle>MMR</b:PeriodicalTitle>
    <b:Year>2004</b:Year>
    <b:Pages>133</b:Pages>
    <b:RefOrder>97</b:RefOrder>
  </b:Source>
  <b:Source>
    <b:Tag>Roß031</b:Tag>
    <b:SourceType>ArticleInAPeriodical</b:SourceType>
    <b:Guid>{5AFFCD0C-2BDD-4D09-AA0B-E636F832A5D1}</b:Guid>
    <b:Author>
      <b:Author>
        <b:NameList>
          <b:Person>
            <b:Last>Roßnagel</b:Last>
            <b:First>Alexander</b:First>
          </b:Person>
        </b:NameList>
      </b:Author>
    </b:Author>
    <b:Title>Die fortgeschrittene elektronische Signatur</b:Title>
    <b:PeriodicalTitle>MMR</b:PeriodicalTitle>
    <b:Year>2003</b:Year>
    <b:Pages>164</b:Pages>
    <b:RefOrder>98</b:RefOrder>
  </b:Source>
  <b:Source>
    <b:Tag>Roß03</b:Tag>
    <b:SourceType>ArticleInAPeriodical</b:SourceType>
    <b:Guid>{6F87E1D2-C15F-425D-A50A-51FBE3A41314}</b:Guid>
    <b:Title>Der Beweiswert von E-Mail</b:Title>
    <b:Author>
      <b:Author>
        <b:NameList>
          <b:Person>
            <b:Last>Roßnagel</b:Last>
            <b:First>Alexander</b:First>
          </b:Person>
          <b:Person>
            <b:Last>Pfitzmann</b:Last>
            <b:First>Andreas</b:First>
          </b:Person>
        </b:NameList>
      </b:Author>
    </b:Author>
    <b:PeriodicalTitle>NJW</b:PeriodicalTitle>
    <b:Year>2003</b:Year>
    <b:Pages>1209</b:Pages>
    <b:RefOrder>99</b:RefOrder>
  </b:Source>
  <b:Source>
    <b:Tag>Roß02</b:Tag>
    <b:SourceType>ArticleInAPeriodical</b:SourceType>
    <b:Guid>{408C2B83-CA43-40BA-AAEB-89DA4A8F8C83}</b:Guid>
    <b:Author>
      <b:Author>
        <b:NameList>
          <b:Person>
            <b:Last>Roßnagel</b:Last>
            <b:First>Alexander</b:First>
          </b:Person>
        </b:NameList>
      </b:Author>
    </b:Author>
    <b:Title>Rechtliche Unterschiede von Signaturverfahren</b:Title>
    <b:PeriodicalTitle>MMR</b:PeriodicalTitle>
    <b:Year>2002</b:Year>
    <b:Pages>215</b:Pages>
    <b:RefOrder>100</b:RefOrder>
  </b:Source>
  <b:Source>
    <b:Tag>Ros06</b:Tag>
    <b:SourceType>ArticleInAPeriodical</b:SourceType>
    <b:Guid>{2E3564A5-1ACE-4FFB-9EE3-B49F216AD3A7}</b:Guid>
    <b:Title>Die Privilegierung von Objektnetzen nach § 110 EnWG</b:Title>
    <b:Year>2006</b:Year>
    <b:Author>
      <b:Author>
        <b:NameList>
          <b:Person>
            <b:Last>Rosin</b:Last>
            <b:First>Peter</b:First>
          </b:Person>
        </b:NameList>
      </b:Author>
    </b:Author>
    <b:PeriodicalTitle>RdE</b:PeriodicalTitle>
    <b:Pages>9</b:Pages>
    <b:RefOrder>101</b:RefOrder>
  </b:Source>
  <b:Source>
    <b:Tag>Rom02</b:Tag>
    <b:SourceType>Book</b:SourceType>
    <b:Guid>{F8B351E0-2F11-42E7-830D-46A7A1F01751}</b:Guid>
    <b:Author>
      <b:Author>
        <b:NameList>
          <b:Person>
            <b:Last>Romain</b:Last>
            <b:First>Alfred</b:First>
          </b:Person>
          <b:Person>
            <b:Last>Byrd</b:Last>
            <b:First>B.</b:First>
            <b:Middle>Sharon</b:Middle>
          </b:Person>
          <b:Person>
            <b:Last>Thielecke</b:Last>
            <b:First>Carola</b:First>
          </b:Person>
        </b:NameList>
      </b:Author>
    </b:Author>
    <b:Title>Wörterbuch der Rechts- und Wirtschaftssprache - Teil II deutsch - englisch</b:Title>
    <b:Year>4. Auflage 2002</b:Year>
    <b:City>München</b:City>
    <b:ShortTitle>Wörterbuch der Rechts- und Wirtschaftssprache - Teil II</b:ShortTitle>
    <b:RefOrder>102</b:RefOrder>
  </b:Source>
  <b:Source>
    <b:Tag>Rom00</b:Tag>
    <b:SourceType>Book</b:SourceType>
    <b:Guid>{CBD50397-04B1-4EF7-BC1F-5E17B0835CEF}</b:Guid>
    <b:Title>Wörterbuch der Rechts- und Wirtschaftssprache - Teil I englisch - deutsch</b:Title>
    <b:Author>
      <b:Author>
        <b:NameList>
          <b:Person>
            <b:Last>Romain</b:Last>
            <b:First>Alfred</b:First>
          </b:Person>
          <b:Person>
            <b:Last>Bader</b:Last>
            <b:First>Hans</b:First>
            <b:Middle>Anton</b:Middle>
          </b:Person>
          <b:Person>
            <b:Last>Byrd</b:Last>
            <b:First>B.</b:First>
            <b:Middle>Sharon</b:Middle>
          </b:Person>
        </b:NameList>
      </b:Author>
    </b:Author>
    <b:Year>5. Auflage 2000</b:Year>
    <b:City>München</b:City>
    <b:ShortTitle>Wörterbuch der Rechts- und Wirtschaftssprache - Teil I</b:ShortTitle>
    <b:RefOrder>103</b:RefOrder>
  </b:Source>
  <b:Source>
    <b:Tag>Röh08</b:Tag>
    <b:SourceType>Book</b:SourceType>
    <b:Guid>{F465B640-40E8-44E1-9A9B-57A0D7DAE89B}</b:Guid>
    <b:Author>
      <b:Author>
        <b:NameList>
          <b:Person>
            <b:Last>Röhl</b:Last>
            <b:First>Klaus</b:First>
            <b:Middle>F.</b:Middle>
          </b:Person>
          <b:Person>
            <b:Last>Röhl</b:Last>
            <b:First>Hans</b:First>
            <b:Middle>Christian</b:Middle>
          </b:Person>
        </b:NameList>
      </b:Author>
    </b:Author>
    <b:Title>Allgemeine Rechtslehre</b:Title>
    <b:Year>3. Auflage 2008</b:Year>
    <b:City>Köln</b:City>
    <b:ShortTitle>Allgemeine Rechtslehre</b:ShortTitle>
    <b:RefOrder>104</b:RefOrder>
  </b:Source>
  <b:Source>
    <b:Tag>Ric1</b:Tag>
    <b:SourceType>Case</b:SourceType>
    <b:Guid>{6E7E6FEE-DF01-4DA9-B8F4-152CA3ADDE08}</b:Guid>
    <b:Title>Richtlinie 2003/54/EG des Europäischen Parlaments und des Rates vom 26.06.2003 über gemeinsame Vorschriften für den Elektrizitätsbinnenmarkt und zur Aufhebung der Richtlinie 96/92/EG</b:Title>
    <b:RefOrder>105</b:RefOrder>
  </b:Source>
  <b:Source>
    <b:Tag>Ric</b:Tag>
    <b:SourceType>Case</b:SourceType>
    <b:Guid>{CE04427B-19AF-49CD-99BF-419922F998CF}</b:Guid>
    <b:Title>Richtlinie 96/92/EG des Europäischen Parlaments und des Rates v. 19.12.1996 betreffend gemeinsame Vorschriften für den Elektrizitätsbinnenmarkt </b:Title>
    <b:RefOrder>106</b:RefOrder>
  </b:Source>
  <b:Source>
    <b:Tag>Rei99</b:Tag>
    <b:SourceType>ArticleInAPeriodical</b:SourceType>
    <b:Guid>{E2D123D0-3B84-44B4-8582-C8269C1AC465}</b:Guid>
    <b:Title>Die rechtliche Einordnung des Energielieferungsvertrages</b:Title>
    <b:Author>
      <b:Author>
        <b:NameList>
          <b:Person>
            <b:Last>Reinholz</b:Last>
            <b:First>Hans</b:First>
          </b:Person>
        </b:NameList>
      </b:Author>
    </b:Author>
    <b:PeriodicalTitle>RdE</b:PeriodicalTitle>
    <b:Year>1999</b:Year>
    <b:Pages>64</b:Pages>
    <b:RefOrder>107</b:RefOrder>
  </b:Source>
  <b:Source>
    <b:Tag>Rei10</b:Tag>
    <b:SourceType>ArticleInAPeriodical</b:SourceType>
    <b:Guid>{116A1CB7-3EE6-42B5-A1FB-DD5A3C532FEB}</b:Guid>
    <b:Title>"Smart Meter" mit Ferraris Zählern - Geräte intelligent über die Stromleitung verbinden</b:Title>
    <b:Year>2/2010</b:Year>
    <b:Author>
      <b:Author>
        <b:NameList>
          <b:Person>
            <b:Last>Reisch</b:Last>
            <b:First>Reiner</b:First>
          </b:Person>
        </b:NameList>
      </b:Author>
    </b:Author>
    <b:PeriodicalTitle>ew</b:PeriodicalTitle>
    <b:Pages>46</b:Pages>
    <b:RefOrder>108</b:RefOrder>
  </b:Source>
  <b:Source>
    <b:Tag>Reg</b:Tag>
    <b:SourceType>Case</b:SourceType>
    <b:Guid>{B0E450F5-E56D-4A51-B68B-E7B4787B3D82}</b:Guid>
    <b:Title>RegE ZAG BT-Drucks. 16/11613</b:Title>
    <b:RefOrder>109</b:RefOrder>
  </b:Source>
  <b:Source>
    <b:Tag>Reb09</b:Tag>
    <b:SourceType>BookSection</b:SourceType>
    <b:Guid>{A7F572EC-7DC6-4B9D-B491-A5321E792ED4}</b:Guid>
    <b:Title>Münchner Kommentar zum Bürgerlichen Gesetzbuch Band 6</b:Title>
    <b:Year>5. Auflage 2009</b:Year>
    <b:City>München</b:City>
    <b:Author>
      <b:Editor>
        <b:NameList>
          <b:Person>
            <b:Last>Säcker</b:Last>
            <b:First>Franz</b:First>
            <b:Middle>Jürgen</b:Middle>
          </b:Person>
          <b:Person>
            <b:Last>Rixecker</b:Last>
            <b:First>Roland</b:First>
          </b:Person>
        </b:NameList>
      </b:Editor>
    </b:Author>
    <b:ShortTitle>MünchKomm BGB Band 6</b:ShortTitle>
    <b:RefOrder>110</b:RefOrder>
  </b:Source>
  <b:Source>
    <b:Tag>Rau08</b:Tag>
    <b:SourceType>BookSection</b:SourceType>
    <b:Guid>{F5AB11AD-2D06-4BD7-A6C8-48F8C93CAD57}</b:Guid>
    <b:Title>Münchner Kommentar zur Zivilprozessordnung mit Gerichtsverfassungsgesetz und Nebengesetzen Band 1 §§ 1-510c</b:Title>
    <b:Year>2008</b:Year>
    <b:City>München</b:City>
    <b:Author>
      <b:Editor>
        <b:NameList>
          <b:Person>
            <b:Last>Rauscher</b:Last>
            <b:First>Thomas</b:First>
          </b:Person>
          <b:Person>
            <b:Last>Wax</b:Last>
            <b:First>Peter</b:First>
          </b:Person>
          <b:Person>
            <b:Last>Wenzel</b:Last>
            <b:First>Joachim</b:First>
          </b:Person>
        </b:NameList>
      </b:Editor>
    </b:Author>
    <b:ShortTitle>MünchKomm ZPO Band 1 §§ 1-510c</b:ShortTitle>
    <b:RefOrder>111</b:RefOrder>
  </b:Source>
  <b:Source>
    <b:Tag>Raa111</b:Tag>
    <b:SourceType>ArticleInAPeriodical</b:SourceType>
    <b:Guid>{43DE6AD9-5323-4E1E-8188-BF8FD201DDB1}</b:Guid>
    <b:Author>
      <b:Author>
        <b:NameList>
          <b:Person>
            <b:Last>Raabe</b:Last>
            <b:First>Oliver</b:First>
          </b:Person>
          <b:Person>
            <b:Last>Lorenz</b:Last>
            <b:First>Mieke</b:First>
          </b:Person>
        </b:NameList>
      </b:Author>
    </b:Author>
    <b:Title>Die datenschutzrechtliche Einwilligung im Internet der Dienste - Zur Notwendigkeit qualifizierter elektronischer Signaturen</b:Title>
    <b:Year>2011</b:Year>
    <b:PeriodicalTitle>DuD</b:PeriodicalTitle>
    <b:Pages>279</b:Pages>
    <b:RefOrder>112</b:RefOrder>
  </b:Source>
  <b:Source>
    <b:Tag>Raa11</b:Tag>
    <b:SourceType>BookSection</b:SourceType>
    <b:Guid>{B1CECA86-5129-4AE8-BCD1-A2F5D4D1F1B6}</b:Guid>
    <b:Author>
      <b:Author>
        <b:NameList>
          <b:Person>
            <b:Last>Raabe</b:Last>
            <b:First>Oliver</b:First>
          </b:Person>
          <b:Person>
            <b:Last>Pallas</b:Last>
            <b:First>Frank</b:First>
          </b:Person>
          <b:Person>
            <b:Last>Weis</b:Last>
            <b:First>Eva</b:First>
          </b:Person>
          <b:Person>
            <b:Last>Lorenz</b:Last>
            <b:First>Mieke</b:First>
          </b:Person>
          <b:Person>
            <b:Last>Boesche</b:Last>
            <b:First>Katharina</b:First>
            <b:Middle>Vera</b:Middle>
          </b:Person>
        </b:NameList>
      </b:Author>
      <b:Editor>
        <b:NameList>
          <b:Person>
            <b:Last>Raabe</b:Last>
            <b:First>Oliver</b:First>
          </b:Person>
          <b:Person>
            <b:Last>Pallas</b:Last>
            <b:First>Frank</b:First>
          </b:Person>
          <b:Person>
            <b:Last>Weis</b:Last>
            <b:First>Eva</b:First>
          </b:Person>
          <b:Person>
            <b:Last>Lorenz</b:Last>
            <b:First>Mieke</b:First>
          </b:Person>
          <b:Person>
            <b:Last>Boesche</b:Last>
            <b:First>Katharina</b:First>
            <b:Middle>Vera</b:Middle>
          </b:Person>
        </b:NameList>
      </b:Editor>
    </b:Author>
    <b:Title>Datenschutz in Smart Grids - Anmerkungen und Anregungen</b:Title>
    <b:Year>2011</b:Year>
    <b:City>London</b:City>
    <b:ShortTitle>Datenschutz in Smart Grids</b:ShortTitle>
    <b:RefOrder>113</b:RefOrder>
  </b:Source>
  <b:Source>
    <b:Tag>Raa102</b:Tag>
    <b:SourceType>ArticleInAPeriodical</b:SourceType>
    <b:Guid>{4BA3AC65-2733-4372-893C-A62E9894B00C}</b:Guid>
    <b:Author>
      <b:Author>
        <b:NameList>
          <b:Person>
            <b:Last>Raabe</b:Last>
            <b:First>Oliver</b:First>
          </b:Person>
        </b:NameList>
      </b:Author>
    </b:Author>
    <b:Title>Datenschutz im SmartGrid - Anpassungsbedarf des Rechts und des Systemdatenschutzes</b:Title>
    <b:PeriodicalTitle>DuD</b:PeriodicalTitle>
    <b:Year>2010</b:Year>
    <b:Pages>379</b:Pages>
    <b:RefOrder>114</b:RefOrder>
  </b:Source>
  <b:Source>
    <b:Tag>Raa101</b:Tag>
    <b:SourceType>ArticleInAPeriodical</b:SourceType>
    <b:Guid>{27C2DA87-C93C-4974-879B-89364525CBDE}</b:Guid>
    <b:Author>
      <b:Author>
        <b:NameList>
          <b:Person>
            <b:Last>Raabe</b:Last>
            <b:First>Oliver</b:First>
          </b:Person>
          <b:Person>
            <b:Last>Trebeß</b:Last>
            <b:First>Mieke</b:First>
          </b:Person>
          <b:Person>
            <b:Last>Schmelzer</b:Last>
            <b:First>Knut</b:First>
          </b:Person>
        </b:NameList>
      </b:Author>
    </b:Author>
    <b:Title>Generic Legal Aspect of E-Energy</b:Title>
    <b:Year>2/2010</b:Year>
    <b:PeriodicalTitle>it - Information Technology</b:PeriodicalTitle>
    <b:Pages>107</b:Pages>
    <b:RefOrder>115</b:RefOrder>
  </b:Source>
  <b:Source>
    <b:Tag>Raa10</b:Tag>
    <b:SourceType>DocumentFromInternetSite</b:SourceType>
    <b:Guid>{DA9E3EAE-35D3-4AB2-80EF-1F821360CE53}</b:Guid>
    <b:Author>
      <b:Author>
        <b:NameList>
          <b:Person>
            <b:Last>Raabe</b:Last>
            <b:First>Oliver</b:First>
          </b:Person>
          <b:Person>
            <b:Last>Lorenz</b:Last>
            <b:First>Mieke</b:First>
          </b:Person>
          <b:Person>
            <b:Last>Pallas</b:Last>
            <b:First>Frank</b:First>
          </b:Person>
          <b:Person>
            <b:Last>Weis</b:Last>
            <b:First>Eva</b:First>
          </b:Person>
        </b:NameList>
      </b:Author>
    </b:Author>
    <b:Title>Datenschutz im Smart Grid und in der Elektromobilität - Technical Report</b:Title>
    <b:Year>Stand 26. Januar 2011</b:Year>
    <b:InternetSiteTitle>online über http://compliance.zar.kit.edu</b:InternetSiteTitle>
    <b:DayAccessed>07.02.2011</b:DayAccessed>
    <b:ShortTitle>Datenschutz im Smart Grid und in der Elektromobilität</b:ShortTitle>
    <b:RefOrder>116</b:RefOrder>
  </b:Source>
  <b:Source>
    <b:Tag>Raa1</b:Tag>
    <b:SourceType>ArticleInAPeriodical</b:SourceType>
    <b:Guid>{A7FC69C5-DCC1-4480-84DC-695B59333AD9}</b:Guid>
    <b:Author>
      <b:Author>
        <b:NameList>
          <b:Person>
            <b:Last>Raabe</b:Last>
            <b:First>Oliver</b:First>
          </b:Person>
          <b:Person>
            <b:Last>Lorenz</b:Last>
            <b:First>Mieke</b:First>
          </b:Person>
          <b:Person>
            <b:Last>Pallas</b:Last>
            <b:First>Frank</b:First>
          </b:Person>
          <b:Person>
            <b:Last>Weis</b:Last>
            <b:First>Eva</b:First>
          </b:Person>
        </b:NameList>
      </b:Author>
    </b:Author>
    <b:Title>Harmonisierung konträrer Kommunikationsmodelle im Datenschutzkonzept des EnWG - "Stern" trifft "Kette" - Ansätze zur datenschutzrechtlichen Konfliktlösung im Smart Metering</b:Title>
    <b:PeriodicalTitle>CR</b:PeriodicalTitle>
    <b:Year>2011</b:Year>
    <b:Pages>831</b:Pages>
    <b:RefOrder>117</b:RefOrder>
  </b:Source>
  <b:Source>
    <b:Tag>Raa</b:Tag>
    <b:SourceType>ConferenceProceedings</b:SourceType>
    <b:Guid>{F2D217B6-D549-465E-A3CE-018E59D645FE}</b:Guid>
    <b:Author>
      <b:Author>
        <b:NameList>
          <b:Person>
            <b:Last>Raabe</b:Last>
            <b:First>Oliver</b:First>
          </b:Person>
          <b:Person>
            <b:Last>Trebeß</b:Last>
            <b:First>Mieke</b:First>
          </b:Person>
          <b:Person>
            <b:Last>Funk</b:Last>
            <b:First>Christian</b:First>
          </b:Person>
        </b:NameList>
      </b:Author>
    </b:Author>
    <b:Title>Unterstützung bei der Analyse der fachlichen Anforderungen, Datenmodellen, Standards, Sicherheitsaspekten und weiteren NFA, MeRegio AP 418</b:Title>
    <b:ShortTitle>MeRegio AP 418</b:ShortTitle>
    <b:RefOrder>118</b:RefOrder>
  </b:Source>
  <b:Source>
    <b:Tag>PTB2</b:Tag>
    <b:SourceType>Case</b:SourceType>
    <b:Guid>{A89BBEC1-A3AC-4050-921F-E7043F20CFCD}</b:Guid>
    <b:Title>PTB-A 50.7</b:Title>
    <b:RefOrder>119</b:RefOrder>
  </b:Source>
  <b:Source>
    <b:Tag>PTB1</b:Tag>
    <b:SourceType>Case</b:SourceType>
    <b:Guid>{C25DCF43-2C76-4D67-8D77-6BF79318A343}</b:Guid>
    <b:Title>Checkliste für elektromechanische- und elektronische Wirkverbrauchszähler nach der MID-Richtlinie (2004/22/EG), Version vom 20.05.2008, online über www.ptb.de [abgerufen am 21.05.2011]</b:Title>
    <b:Court>PTB,</b:Court>
    <b:RefOrder>120</b:RefOrder>
  </b:Source>
  <b:Source>
    <b:Tag>PTB08</b:Tag>
    <b:SourceType>Case</b:SourceType>
    <b:Guid>{D94A72A3-0952-4C1F-8A09-BD66F03A4E6D}</b:Guid>
    <b:Author>
      <b:Author>
        <b:Corporate>PTB</b:Corporate>
      </b:Author>
    </b:Author>
    <b:Title>PTB, Hinweise zu Sonderprüfungen an Zusatzeinrichtungen, Version vom 28.01.2008, online über www.ptb.de [abgerufen am 21.05.2011]</b:Title>
    <b:InternetSiteTitle>online über www.ptb.de</b:InternetSiteTitle>
    <b:Year>Version vom 28.01.2008</b:Year>
    <b:DayAccessed>23.05.2011</b:DayAccessed>
    <b:ShortTitle>Hinweise zu Sonderprüfungen an Zusatzeinrichtungen</b:ShortTitle>
    <b:RefOrder>121</b:RefOrder>
  </b:Source>
  <b:Source>
    <b:Tag>PTB</b:Tag>
    <b:SourceType>Case</b:SourceType>
    <b:Guid>{5F906F41-CD25-4E37-943A-D4E0DC0E76C2}</b:Guid>
    <b:Title>Eichrechtlicher Anforderungen an Doppeltarif-Zusatzeinrichtungen für Messgeräte für Elektrizität, online über www.ptb.de [abgerufen am 21.05.2011]</b:Title>
    <b:Court>PTB</b:Court>
    <b:RefOrder>122</b:RefOrder>
  </b:Source>
  <b:Source>
    <b:Tag>Poh07</b:Tag>
    <b:SourceType>ArticleInAPeriodical</b:SourceType>
    <b:Guid>{B7BE5FE0-4E03-4A02-954C-DD49E0E67D08}</b:Guid>
    <b:Author>
      <b:Author>
        <b:NameList>
          <b:Person>
            <b:Last>Pohle</b:Last>
            <b:First>Jan</b:First>
          </b:Person>
          <b:Person>
            <b:Last>Dorschel</b:Last>
            <b:First>Joachim</b:First>
          </b:Person>
        </b:NameList>
      </b:Author>
    </b:Author>
    <b:Title>Entgeltnachweis und technische Prüfung - Rechtsfragen zum Nachweis von Entgeltforderungen nach § 45i TKG (§ 16 TKV) in der Praxis</b:Title>
    <b:PeriodicalTitle>CR</b:PeriodicalTitle>
    <b:Year>2007</b:Year>
    <b:Pages>153</b:Pages>
    <b:RefOrder>123</b:RefOrder>
  </b:Source>
  <b:Source>
    <b:Tag>Pie11</b:Tag>
    <b:SourceType>BookSection</b:SourceType>
    <b:Guid>{91351E56-8428-4E75-AAC4-073EE3F95CCA}</b:Guid>
    <b:Title>Beck'scher Online-Kommentar Gewerberecht</b:Title>
    <b:Year>13. Edition 2011</b:Year>
    <b:City>München</b:City>
    <b:Author>
      <b:Editor>
        <b:NameList>
          <b:Person>
            <b:Last>Pielow</b:Last>
            <b:First>Johann-Christian</b:First>
          </b:Person>
        </b:NameList>
      </b:Editor>
    </b:Author>
    <b:ShortTitle>BeckOK GewO</b:ShortTitle>
    <b:RefOrder>124</b:RefOrder>
  </b:Source>
  <b:Source>
    <b:Tag>Pie10</b:Tag>
    <b:SourceType>ArticleInAPeriodical</b:SourceType>
    <b:Guid>{5AE61C81-81E7-4FA6-A054-E892E06E3A78}</b:Guid>
    <b:Title>Effektives Recht der Energieeffizienz</b:Title>
    <b:Year>2010</b:Year>
    <b:Author>
      <b:Author>
        <b:NameList>
          <b:Person>
            <b:Last>Pielow</b:Last>
            <b:First>Johann-Christian</b:First>
          </b:Person>
        </b:NameList>
      </b:Author>
    </b:Author>
    <b:PeriodicalTitle>ZUR</b:PeriodicalTitle>
    <b:Pages>115</b:Pages>
    <b:RefOrder>125</b:RefOrder>
  </b:Source>
  <b:Source>
    <b:Tag>Pie05</b:Tag>
    <b:SourceType>ArticleInAPeriodical</b:SourceType>
    <b:Guid>{9D2C6A49-7494-4D5C-AF43-CF79C494E6A6}</b:Guid>
    <b:Title>Wie "unabhängig" ist die Netzregulierung im Strom- und Gassektor? - Anmerkungen zum neuen Energiewirtschaftsgesetz -</b:Title>
    <b:Year>2005</b:Year>
    <b:Author>
      <b:Author>
        <b:NameList>
          <b:Person>
            <b:Last>Pielow</b:Last>
            <b:First>Johann-Christian</b:First>
          </b:Person>
        </b:NameList>
      </b:Author>
    </b:Author>
    <b:PeriodicalTitle>DÖV</b:PeriodicalTitle>
    <b:Pages>1017</b:Pages>
    <b:RefOrder>126</b:RefOrder>
  </b:Source>
  <b:Source>
    <b:Tag>Pic08</b:Tag>
    <b:SourceType>BookSection</b:SourceType>
    <b:Guid>{58FC5136-58BF-40C3-862D-DC99EC19C9EE}</b:Guid>
    <b:Title>10 Jahre wettbewerbsorientierte Regulierung von Netzindustrien in Deutschland - Bestandsaufnahme und Perspektiven der Regulierung</b:Title>
    <b:Year>2008</b:Year>
    <b:City>München</b:City>
    <b:Author>
      <b:Editor>
        <b:NameList>
          <b:Person>
            <b:Last>Picot</b:Last>
            <b:First>Arnold</b:First>
          </b:Person>
        </b:NameList>
      </b:Editor>
    </b:Author>
    <b:ShortTitle>10 Jahre wettbewerbsorientierte Regulierung von Netzindustrien in Deutschland</b:ShortTitle>
    <b:RefOrder>127</b:RefOrder>
  </b:Source>
  <b:Source>
    <b:Tag>Pel22</b:Tag>
    <b:SourceType>ArticleInAPeriodical</b:SourceType>
    <b:Guid>{D25C7202-F76D-41A1-BE41-34BA346C748F}</b:Guid>
    <b:Author>
      <b:Author>
        <b:NameList>
          <b:Person>
            <b:Last>Pelzer</b:Last>
            <b:First>Guido</b:First>
          </b:Person>
        </b:NameList>
      </b:Author>
    </b:Author>
    <b:Title>Smarte Herausforderungen</b:Title>
    <b:PeriodicalTitle>ew</b:PeriodicalTitle>
    <b:Year>2010, Heft 22</b:Year>
    <b:Pages>42</b:Pages>
    <b:RefOrder>128</b:RefOrder>
  </b:Source>
  <b:Source>
    <b:Tag>Palen</b:Tag>
    <b:SourceType>Book</b:SourceType>
    <b:Guid>{56416CF1-0BA3-451B-A8C8-41D4C25A6E2B}</b:Guid>
    <b:Author>
      <b:Author>
        <b:NameList>
          <b:Person>
            <b:Last>Pallas</b:Last>
            <b:First>Frank</b:First>
          </b:Person>
          <b:Person>
            <b:Last>Raabe</b:Last>
            <b:First>Oliver</b:First>
          </b:Person>
          <b:Person>
            <b:Last>Weis</b:Last>
            <b:First>Eva</b:First>
          </b:Person>
        </b:NameList>
      </b:Author>
    </b:Author>
    <b:Title>Modellierung rechtskonformer kollaborativer Bereitstellung von Regelenergie im Smart Grid</b:Title>
    <b:Year>Informatik 2010, Proceedings, Bd. 1, S. 443-448. GI-Edition-Lecture Notes in Informatics (LNI), 2010</b:Year>
    <b:PeriodicalTitle>angenommener Beitrag zur Informatik 2010, Workshop: Informatik für die Energiesysteme der Zukunft</b:PeriodicalTitle>
    <b:ShortTitle>Modellierung rechtskonformer kollaborativer Bereitstellung von Regelenergie im Smart Grid</b:ShortTitle>
    <b:RefOrder>129</b:RefOrder>
  </b:Source>
  <b:Source>
    <b:Tag>Pal101</b:Tag>
    <b:SourceType>ConferenceProceedings</b:SourceType>
    <b:Guid>{43C02687-7EC6-40F1-89B3-07437BE9BB21}</b:Guid>
    <b:Title>Sachverhaltserfassung Regelenergie, MeRegio Mobil AP 831</b:Title>
    <b:Year>Stand vom 15.07.2010</b:Year>
    <b:Author>
      <b:Author>
        <b:NameList>
          <b:Person>
            <b:Last>Pallas</b:Last>
            <b:First>Frank</b:First>
          </b:Person>
          <b:Person>
            <b:Last>Raabe</b:Last>
            <b:First>Oliver</b:First>
          </b:Person>
          <b:Person>
            <b:Last>Weis</b:Last>
            <b:First>Eva</b:First>
          </b:Person>
        </b:NameList>
      </b:Author>
    </b:Author>
    <b:ShortTitle>MeRegio Mobil AP 831</b:ShortTitle>
    <b:RefOrder>130</b:RefOrder>
  </b:Source>
  <b:Source>
    <b:Tag>Pal10</b:Tag>
    <b:SourceType>ArticleInAPeriodical</b:SourceType>
    <b:Guid>{D439D22A-5709-42EA-BA61-92F9C4ACE50B}</b:Guid>
    <b:Title>Beweis- und eichrechtliche Aspekte der Elektromobilität</b:Title>
    <b:Year>2010</b:Year>
    <b:Author>
      <b:Author>
        <b:NameList>
          <b:Person>
            <b:Last>Pallas</b:Last>
            <b:First>Frank</b:First>
          </b:Person>
          <b:Person>
            <b:Last>Raabe</b:Last>
            <b:First>Oliver</b:First>
          </b:Person>
          <b:Person>
            <b:Last>Weis</b:Last>
            <b:First>Eva</b:First>
          </b:Person>
        </b:NameList>
      </b:Author>
    </b:Author>
    <b:Pages>404</b:Pages>
    <b:PeriodicalTitle>CR</b:PeriodicalTitle>
    <b:RefOrder>131</b:RefOrder>
  </b:Source>
  <b:Source>
    <b:Tag>OVG</b:Tag>
    <b:SourceType>Case</b:SourceType>
    <b:Guid>{7EBFE3D2-40CB-45D2-811F-FEFD9DEBA2E4}</b:Guid>
    <b:Title>OVG Münster, NJW 2005, 3162</b:Title>
    <b:RefOrder>132</b:RefOrder>
  </b:Source>
  <b:Source>
    <b:Tag>OLG8</b:Tag>
    <b:SourceType>Case</b:SourceType>
    <b:Guid>{5B15BEE7-70D3-4DB5-B300-B5CC7846E20F}</b:Guid>
    <b:Title>OLG Köln CR 2003, 55</b:Title>
    <b:RefOrder>133</b:RefOrder>
  </b:Source>
  <b:Source>
    <b:Tag>OLG7</b:Tag>
    <b:SourceType>Case</b:SourceType>
    <b:Guid>{3BCAA961-B4C8-486B-A793-91E2ECC4A2B2}</b:Guid>
    <b:Title>OLG Hamm MMR 2004, 337</b:Title>
    <b:RefOrder>134</b:RefOrder>
  </b:Source>
  <b:Source>
    <b:Tag>OLG6</b:Tag>
    <b:SourceType>Case</b:SourceType>
    <b:Guid>{2DBE1CBD-9521-47DF-8D04-1C802931A5E8}</b:Guid>
    <b:Title>OLG Köln NJW-RR 1998, 1363</b:Title>
    <b:RefOrder>135</b:RefOrder>
  </b:Source>
  <b:Source>
    <b:Tag>OLG5</b:Tag>
    <b:SourceType>Case</b:SourceType>
    <b:Guid>{9B099390-0298-4F61-A5A8-4DD7C9684567}</b:Guid>
    <b:Title>OLG Celle NJW-RR 1997, 568</b:Title>
    <b:RefOrder>136</b:RefOrder>
  </b:Source>
  <b:Source>
    <b:Tag>OLG4</b:Tag>
    <b:SourceType>Case</b:SourceType>
    <b:Guid>{96FF55ED-B06B-4BEC-AF3A-25C450E34079}</b:Guid>
    <b:Title>OLG Hamm EWiR 1994, 599</b:Title>
    <b:RefOrder>137</b:RefOrder>
  </b:Source>
  <b:Source>
    <b:Tag>OLG3</b:Tag>
    <b:SourceType>Case</b:SourceType>
    <b:Guid>{D5B7D22A-7106-43CE-92F3-47C93F199888}</b:Guid>
    <b:Title>OLG Köln VersR 1990, 390</b:Title>
    <b:RefOrder>138</b:RefOrder>
  </b:Source>
  <b:Source>
    <b:Tag>OLG2</b:Tag>
    <b:SourceType>Case</b:SourceType>
    <b:Guid>{01B7471F-445E-4CF1-8573-D8DF3B860965}</b:Guid>
    <b:Title>Az. 20 U 67/95</b:Title>
    <b:Court>OLG Celle</b:Court>
    <b:RefOrder>139</b:RefOrder>
  </b:Source>
  <b:Source>
    <b:Tag>OLG14</b:Tag>
    <b:SourceType>Case</b:SourceType>
    <b:Guid>{3695B30B-045F-4E75-8D42-A88F3A2ABCC4}</b:Guid>
    <b:Title>Beschluss vom 28.11.2007 - VI-3 Kart 200/07 (V)</b:Title>
    <b:Court>OLG Düsseldorf, </b:Court>
    <b:RefOrder>140</b:RefOrder>
  </b:Source>
  <b:Source>
    <b:Tag>OLG12</b:Tag>
    <b:SourceType>Case</b:SourceType>
    <b:Guid>{F5BC22F6-29E7-4F3C-A505-984CB3C622A9}</b:Guid>
    <b:Title>OLG Hamburg RDV 2011, 34</b:Title>
    <b:RefOrder>141</b:RefOrder>
  </b:Source>
  <b:Source>
    <b:Tag>OLG11</b:Tag>
    <b:SourceType>Case</b:SourceType>
    <b:Guid>{E7167AB1-E8D7-4915-8868-A51475393934}</b:Guid>
    <b:Title>NZV 1997, 481</b:Title>
    <b:Court>OLG Brandenburg</b:Court>
    <b:RefOrder>142</b:RefOrder>
  </b:Source>
  <b:Source>
    <b:Tag>OLG10</b:Tag>
    <b:SourceType>Case</b:SourceType>
    <b:Guid>{B6B6E347-AB61-49C0-9DE6-89D46E0CC520}</b:Guid>
    <b:Title>OLG Düsseldorf ZNER 2008, 380</b:Title>
    <b:RefOrder>143</b:RefOrder>
  </b:Source>
  <b:Source>
    <b:Tag>OLG1</b:Tag>
    <b:SourceType>Case</b:SourceType>
    <b:Guid>{F748D578-3BC5-4A3E-AC12-BBF4DD9386CF}</b:Guid>
    <b:Title>MMR 2009, 856</b:Title>
    <b:Court>OLG Frankfurt</b:Court>
    <b:RefOrder>144</b:RefOrder>
  </b:Source>
  <b:Source>
    <b:Tag>OLG</b:Tag>
    <b:SourceType>Case</b:SourceType>
    <b:Guid>{33629635-77BB-4523-BA1B-E3CE61200F1A}</b:Guid>
    <b:Court>OLG Düsseldorf,</b:Court>
    <b:Title>Beschl. v. 28.3.2007 - VI-3 Kart 294/06 (V) und VI-3 Kart 358/06 (V)</b:Title>
    <b:RefOrder>145</b:RefOrder>
  </b:Source>
  <b:Source>
    <b:Tag>NJW5</b:Tag>
    <b:SourceType>Case</b:SourceType>
    <b:Guid>{1DD582B1-308B-4995-8D53-BD5154F0D6A4}</b:Guid>
    <b:Title>NJW 1993, 1729</b:Title>
    <b:Court>BVerwG</b:Court>
    <b:RefOrder>146</b:RefOrder>
  </b:Source>
  <b:Source>
    <b:Tag>NJW4</b:Tag>
    <b:SourceType>Case</b:SourceType>
    <b:Guid>{3FF9D006-EBF2-4BA6-BAF2-A018365ED854}</b:Guid>
    <b:Title>NJW 2012, 1277</b:Title>
    <b:Court>BGH</b:Court>
    <b:RefOrder>147</b:RefOrder>
  </b:Source>
  <b:Source>
    <b:Tag>NJW3</b:Tag>
    <b:SourceType>Case</b:SourceType>
    <b:Guid>{03631796-76D2-4A42-B8B8-1AACE871FCE6}</b:Guid>
    <b:Title>NJW 1991, 1052</b:Title>
    <b:Court>BGH</b:Court>
    <b:RefOrder>148</b:RefOrder>
  </b:Source>
  <b:Source>
    <b:Tag>NJW2</b:Tag>
    <b:SourceType>Case</b:SourceType>
    <b:Guid>{40051DFC-89A5-4B42-AC65-6AED2D7DC362}</b:Guid>
    <b:Title>NJW 1980, 1640</b:Title>
    <b:Court>BVerwG</b:Court>
    <b:RefOrder>149</b:RefOrder>
  </b:Source>
  <b:Source>
    <b:Tag>NJW1</b:Tag>
    <b:SourceType>Case</b:SourceType>
    <b:Guid>{DCD9D746-6DA9-4937-869A-DB40C2527597}</b:Guid>
    <b:Title>NJW 1967, 1627</b:Title>
    <b:Court>BVerwG</b:Court>
    <b:RefOrder>150</b:RefOrder>
  </b:Source>
  <b:Source>
    <b:Tag>NJW</b:Tag>
    <b:SourceType>Case</b:SourceType>
    <b:Guid>{FA0A7D33-A32C-4E2E-B9FE-241A56CDA33C}</b:Guid>
    <b:Title>NJW 1983, 2944</b:Title>
    <b:Court>BGH</b:Court>
    <b:RefOrder>151</b:RefOrder>
  </b:Source>
  <b:Source>
    <b:Tag>Nil08</b:Tag>
    <b:SourceType>Book</b:SourceType>
    <b:Guid>{F931820A-A40C-4AEA-AFC9-AE15EF13B8D1}</b:Guid>
    <b:Author>
      <b:Author>
        <b:NameList>
          <b:Person>
            <b:Last>Nill-Theobald</b:Last>
            <b:First>Christiane</b:First>
          </b:Person>
          <b:Person>
            <b:Last>Theobald</b:Last>
            <b:First>Christian</b:First>
          </b:Person>
        </b:NameList>
      </b:Author>
    </b:Author>
    <b:Title>Grundzüge des Energiewirtschaftsrechts</b:Title>
    <b:Year>2. Auflage 2008</b:Year>
    <b:City>München</b:City>
    <b:ShortTitle>Grundzüge des Energiewirtschaftsrechts</b:ShortTitle>
    <b:RefOrder>152</b:RefOrder>
  </b:Source>
  <b:Source>
    <b:Tag>Nev05</b:Tag>
    <b:SourceType>ArticleInAPeriodical</b:SourceType>
    <b:Guid>{69917F64-BD22-4EB9-BA53-0D096D80037F}</b:Guid>
    <b:Author>
      <b:Author>
        <b:NameList>
          <b:Person>
            <b:Last>Neveling</b:Last>
            <b:First>Stefanie</b:First>
          </b:Person>
        </b:NameList>
      </b:Author>
    </b:Author>
    <b:Title>Die Bundesnetzagentur - Aufbau, Zuständigkeiten und Verfahrensweisen</b:Title>
    <b:PeriodicalTitle>ZNER</b:PeriodicalTitle>
    <b:Year>2005</b:Year>
    <b:Pages>263</b:Pages>
    <b:RefOrder>153</b:RefOrder>
  </b:Source>
  <b:Source>
    <b:Tag>Nat12</b:Tag>
    <b:SourceType>Report</b:SourceType>
    <b:Guid>{FA5C633D-47D0-4311-BE4F-544AE3207D53}</b:Guid>
    <b:Title>Nationale Plattform Elektromobilität, AG 3 – Ladeinfrastruktur und Netzintegration, Ladeinfrastruktur bedarfsgerecht ausbauen</b:Title>
    <b:Year>Juni 2012</b:Year>
    <b:ShortTitle>Nationale Plattform Elektromobilität, AG 3 – Ladeinfrastruktur und Netzintegration, Ladeinfrastruktur bedarfsgerecht ausbauen</b:ShortTitle>
    <b:Pages>online über https://www.eon.de/resources/base/docs/pdf/Dokumente/eonde/NPE_AG3_Arbeitspapier_Juni_2012_final.pdf</b:Pages>
    <b:ThesisType>26.06.2012</b:ThesisType>
    <b:RefOrder>154</b:RefOrder>
  </b:Source>
  <b:Source>
    <b:Tag>Nat10</b:Tag>
    <b:SourceType>Report</b:SourceType>
    <b:Guid>{80965346-B33A-466F-BE2F-DA2191A66337}</b:Guid>
    <b:Title>Nationale Plattform Elektromobilität, Zwischenbericht der Arbeitsgruppe 3 Lade-Infrastruktur und Netzintegration</b:Title>
    <b:Year>30.11.2010</b:Year>
    <b:ShortTitle>Nationale Plattform Elektromobilität, Zwischenbericht der Arbeitsgruppe 3 Lade-Infrastruktur und Netzintegration</b:ShortTitle>
    <b:Pages>online über http://www.bmwi.de/Dateien/BMWi/PDF/zwischenbericht-ag3,property=pdf,bereich=bmwi,sprache=de,rwb=true.pdf</b:Pages>
    <b:ThesisType>05.03.2012</b:ThesisType>
    <b:RefOrder>155</b:RefOrder>
  </b:Source>
  <b:Source>
    <b:Tag>Nat09</b:Tag>
    <b:SourceType>Report</b:SourceType>
    <b:Guid>{3ABFAB55-A778-4EDC-9B0D-7C6930B3923F}</b:Guid>
    <b:Title>Nationaler Entwicklungsplan Elektromobilität der Bundesregierung</b:Title>
    <b:Year>Stand August 2009</b:Year>
    <b:Pages>online über http://www.elektromobilitaet2008.de</b:Pages>
    <b:ThesisType>18.11.2011</b:ThesisType>
    <b:ShortTitle>Nationaler Entwicklungsplan Elektromobilität der Bundesregierung</b:ShortTitle>
    <b:RefOrder>156</b:RefOrder>
  </b:Source>
  <b:Source>
    <b:Tag>Mus09</b:Tag>
    <b:SourceType>BookSection</b:SourceType>
    <b:Guid>{6EA9A367-2587-493F-A81D-B11A2E9FF3AC}</b:Guid>
    <b:Title>Kommentar zur Zivilprozessordnung mit Gerichtsverfassungsgesetz</b:Title>
    <b:Year>7. Auflage 2009</b:Year>
    <b:City>München</b:City>
    <b:Author>
      <b:Editor>
        <b:NameList>
          <b:Person>
            <b:Last>Musielak</b:Last>
            <b:First>Hans-Joachim</b:First>
          </b:Person>
        </b:NameList>
      </b:Editor>
    </b:Author>
    <b:ShortTitle>Zivilprozessordnung</b:ShortTitle>
    <b:RefOrder>157</b:RefOrder>
  </b:Source>
  <b:Source>
    <b:Tag>Mül10</b:Tag>
    <b:SourceType>ArticleInAPeriodical</b:SourceType>
    <b:Guid>{DB15576E-5DEE-4ABF-9A59-0ADDEE5965F2}</b:Guid>
    <b:Author>
      <b:Author>
        <b:NameList>
          <b:Person>
            <b:Last>Müller</b:Last>
            <b:First>Klaus</b:First>
            <b:Middle>J.</b:Middle>
          </b:Person>
        </b:NameList>
      </b:Author>
    </b:Author>
    <b:Title>Gewinnung von Verhaltensprofilen am intelligenten Stromzähler</b:Title>
    <b:PeriodicalTitle>DuD</b:PeriodicalTitle>
    <b:Year>2010</b:Year>
    <b:Pages>359</b:Pages>
    <b:RefOrder>158</b:RefOrder>
  </b:Source>
  <b:Source>
    <b:Tag>Mül01</b:Tag>
    <b:SourceType>ArticleInAPeriodical</b:SourceType>
    <b:Guid>{B878ECBD-F5E9-4B84-BC85-11689B7B7000}</b:Guid>
    <b:Author>
      <b:Author>
        <b:NameList>
          <b:Person>
            <b:Last>Müller-Kirchenbauer</b:Last>
            <b:First>Joachim</b:First>
          </b:Person>
          <b:Person>
            <b:Last>Zenke</b:Last>
            <b:First>Ines</b:First>
          </b:Person>
        </b:NameList>
      </b:Author>
    </b:Author>
    <b:Title>Wettbewerbsmarkt für Regel- und Ausgleichsenergie</b:Title>
    <b:Year>2001</b:Year>
    <b:PeriodicalTitle>ET</b:PeriodicalTitle>
    <b:Pages>696</b:Pages>
    <b:RefOrder>159</b:RefOrder>
  </b:Source>
  <b:Source>
    <b:Tag>Müh01</b:Tag>
    <b:SourceType>ArticleInAPeriodical</b:SourceType>
    <b:Guid>{6B123646-58BD-4D40-9962-4E7C726E7354}</b:Guid>
    <b:Author>
      <b:Author>
        <b:NameList>
          <b:Person>
            <b:Last>Mühlberger</b:Last>
            <b:First>Johann</b:First>
          </b:Person>
        </b:NameList>
      </b:Author>
    </b:Author>
    <b:Title>Verstöße gegen die Beweislast - Möglichkeit der Zurückverweisung nach § 539 ZPO</b:Title>
    <b:PeriodicalTitle>MDR</b:PeriodicalTitle>
    <b:Year>2001</b:Year>
    <b:Pages>735</b:Pages>
    <b:RefOrder>160</b:RefOrder>
  </b:Source>
  <b:Source>
    <b:Tag>Müg10</b:Tag>
    <b:SourceType>ArticleInAPeriodical</b:SourceType>
    <b:Guid>{9E54E1F2-5E86-465C-88AA-7F5915669F57}</b:Guid>
    <b:Title>Diskriminierungsfreier Netzzugang und EEG-Belastungsausgleich bei Stromnetzen in Industrieparks</b:Title>
    <b:Year>2010</b:Year>
    <b:Pages>940</b:Pages>
    <b:Author>
      <b:Author>
        <b:NameList>
          <b:Person>
            <b:Last>Müggenborg</b:Last>
            <b:First>Hans-Jürgen</b:First>
          </b:Person>
        </b:NameList>
      </b:Author>
    </b:Author>
    <b:PeriodicalTitle>NVwZ</b:PeriodicalTitle>
    <b:RefOrder>161</b:RefOrder>
  </b:Source>
  <b:Source>
    <b:Tag>Mon96</b:Tag>
    <b:SourceType>Misc</b:SourceType>
    <b:Guid>{CA997ED0-8D4E-45A5-BEEF-C7A14BA7D76C}</b:Guid>
    <b:Title>Monopolkommission: Wettbewerbspolitik in Zeiten des Umbruchs, XI. Hauptgutachten</b:Title>
    <b:Year>1996, abgedruckt in BT-Drucks. 13/5309</b:Year>
    <b:Pages>abgedruckt in BT-Drucks. 13/5309</b:Pages>
    <b:City>abgedruckt in BT-Drucks. 13/5309</b:City>
    <b:ShortTitle>Monopolkommission: XI. Hauptgutachten</b:ShortTitle>
    <b:RefOrder>162</b:RefOrder>
  </b:Source>
  <b:Source>
    <b:Tag>Mon10</b:Tag>
    <b:SourceType>Misc</b:SourceType>
    <b:Guid>{6DC63D7D-BC28-4F03-821E-7E74D9ABE123}</b:Guid>
    <b:Title>Monopolkommission: Wettbewerbspolitik im Schatten "Nationaler Champions", XV. Hauptgutachten</b:Title>
    <b:Year>2004, abgedruckt in BT-Drucks. 15/3610</b:Year>
    <b:ShortTitle>Monopolkommission: XV. Hauptgutachten</b:ShortTitle>
    <b:RefOrder>163</b:RefOrder>
  </b:Source>
  <b:Source>
    <b:Tag>Mon</b:Tag>
    <b:SourceType>DocumentFromInternetSite</b:SourceType>
    <b:Guid>{1CB9A924-C976-4FFB-909F-50F5E1085A77}</b:Guid>
    <b:Title>Strom und Gas 2009: Energiemärkte im Spannungsfeld von Politik und Wettbewerb, Sondergutachten 54</b:Title>
    <b:Pages>online über http://www.monopolkommission.de</b:Pages>
    <b:ThesisType>01.07.2010</b:ThesisType>
    <b:ShortTitle>Strom und Gas 2009: Energiemärkte im Spannungsfeld von Politik und Wettbewerb, Sondergutachten 54,</b:ShortTitle>
    <b:Author>
      <b:Author>
        <b:Corporate>Monopolkommission</b:Corporate>
      </b:Author>
    </b:Author>
    <b:InternetSiteTitle>online über http://www.monopolkommission.de</b:InternetSiteTitle>
    <b:DayAccessed>01.07.2010</b:DayAccessed>
    <b:RefOrder>164</b:RefOrder>
  </b:Source>
  <b:Source>
    <b:Tag>MMR</b:Tag>
    <b:SourceType>Case</b:SourceType>
    <b:Guid>{BA7B8676-DF9E-41BA-91D4-C804B90ECA6B}</b:Guid>
    <b:Title>MMR 2008, 626</b:Title>
    <b:Court>AG Wiesloch</b:Court>
    <b:RefOrder>165</b:RefOrder>
  </b:Source>
  <b:Source>
    <b:Tag>Mit</b:Tag>
    <b:SourceType>Case</b:SourceType>
    <b:Guid>{A129E40E-6D47-4716-93E1-29B85FE93D85}</b:Guid>
    <b:Title>Mitteilung der Kommission vom 13.11.2008, KOM (2008) 772</b:Title>
    <b:RefOrder>166</b:RefOrder>
  </b:Source>
  <b:Source>
    <b:Tag>Mic11</b:Tag>
    <b:SourceType>ArticleInAPeriodical</b:SourceType>
    <b:Guid>{92A7913D-16C3-4163-9DE3-2C8FBF08BB62}</b:Guid>
    <b:Author>
      <b:Author>
        <b:NameList>
          <b:Person>
            <b:Last>Michaels</b:Last>
            <b:First>Sascha</b:First>
          </b:Person>
          <b:Person>
            <b:Last>de Wyl</b:Last>
            <b:First>Christian</b:First>
          </b:Person>
          <b:Person>
            <b:Last>Ringwald</b:Last>
            <b:First>Roman</b:First>
          </b:Person>
        </b:NameList>
      </b:Author>
    </b:Author>
    <b:Title>Rechtsprobleme im Zusammenhang mit der Nutzung des öffentlichen Straßenraums für Elektromobilitätsanlagen</b:Title>
    <b:PeriodicalTitle>DÖV</b:PeriodicalTitle>
    <b:Year>2011</b:Year>
    <b:Pages>831</b:Pages>
    <b:RefOrder>167</b:RefOrder>
  </b:Source>
  <b:Source>
    <b:Tag>Mei05</b:Tag>
    <b:SourceType>ArticleInAPeriodical</b:SourceType>
    <b:Guid>{479F8EF0-CC89-43E7-BF09-0E7B444B0991}</b:Guid>
    <b:Author>
      <b:Author>
        <b:NameList>
          <b:Person>
            <b:Last>Meinhold</b:Last>
            <b:First>Wilko</b:First>
          </b:Person>
        </b:NameList>
      </b:Author>
    </b:Author>
    <b:Title>Netzanschluss von Areal- und Objektnetzen nach "Mainova" und dem neuen EnWG - Auftrieb für Kraft-Wärme-Kopplung (KWK) und Contracting?</b:Title>
    <b:PeriodicalTitle>ZNER</b:PeriodicalTitle>
    <b:Year>2005</b:Year>
    <b:Pages>196</b:Pages>
    <b:RefOrder>168</b:RefOrder>
  </b:Source>
  <b:Source>
    <b:Tag>Med02</b:Tag>
    <b:SourceType>ArticleInAPeriodical</b:SourceType>
    <b:Guid>{456DA40F-D312-4FB6-9A26-372C1F61DE0D}</b:Guid>
    <b:Author>
      <b:Author>
        <b:NameList>
          <b:Person>
            <b:Last>Meder</b:Last>
            <b:First>Stephan</b:First>
          </b:Person>
        </b:NameList>
      </b:Author>
    </b:Author>
    <b:Title>Die Kreditkartenzahlung im Internet und Mail-Order-Verfahren</b:Title>
    <b:PeriodicalTitle>WM</b:PeriodicalTitle>
    <b:Year>2002</b:Year>
    <b:Pages>1993</b:Pages>
    <b:RefOrder>169</b:RefOrder>
  </b:Source>
  <b:Source>
    <b:Tag>Mau11</b:Tag>
    <b:SourceType>Book</b:SourceType>
    <b:Guid>{CB0E435A-C6E6-45C7-A4D8-42A4022BCDC4}</b:Guid>
    <b:Title>Allgemeines Verwaltungsrecht</b:Title>
    <b:Year>2011</b:Year>
    <b:City>München</b:City>
    <b:Author>
      <b:Author>
        <b:NameList>
          <b:Person>
            <b:Last>Maurer</b:Last>
            <b:First>Hartmut</b:First>
          </b:Person>
        </b:NameList>
      </b:Author>
    </b:Author>
    <b:ShortTitle>Allgemeines Verwaltungsrecht</b:ShortTitle>
    <b:RefOrder>170</b:RefOrder>
  </b:Source>
  <b:Source>
    <b:Tag>Mau09</b:Tag>
    <b:SourceType>BookSection</b:SourceType>
    <b:Guid>{E16EE2B1-224F-4C0B-8845-AFF3AA03717E}</b:Guid>
    <b:Title>Grundgesetz Kommentar</b:Title>
    <b:Year>2009</b:Year>
    <b:City>München</b:City>
    <b:Publisher>C.H. Beck</b:Publisher>
    <b:Author>
      <b:Editor>
        <b:NameList>
          <b:Person>
            <b:Last>Maunz</b:Last>
            <b:First>Theodor</b:First>
          </b:Person>
          <b:Person>
            <b:Last>Dürig</b:Last>
            <b:First>Günter</b:First>
          </b:Person>
        </b:NameList>
      </b:Editor>
    </b:Author>
    <b:ShortTitle>Grundgesetz</b:ShortTitle>
    <b:RefOrder>171</b:RefOrder>
  </b:Source>
  <b:Source>
    <b:Tag>Mar98</b:Tag>
    <b:SourceType>ArticleInAPeriodical</b:SourceType>
    <b:Guid>{1EC2E75F-F535-4F82-AD5A-5D860615FE61}</b:Guid>
    <b:Author>
      <b:Author>
        <b:NameList>
          <b:Person>
            <b:Last>Martens</b:Last>
            <b:First>Claus-Peter</b:First>
          </b:Person>
        </b:NameList>
      </b:Author>
    </b:Author>
    <b:Title>Die Ökonomisierung des Rechtsbegriffs - "Stand der Technik” durch die sechste Novelle zum WHG</b:Title>
    <b:Year>1998</b:Year>
    <b:PeriodicalTitle>NVwZ</b:PeriodicalTitle>
    <b:Pages>13</b:Pages>
    <b:RefOrder>172</b:RefOrder>
  </b:Source>
  <b:Source>
    <b:Tag>Mar11</b:Tag>
    <b:SourceType>ArticleInAPeriodical</b:SourceType>
    <b:Guid>{A530BF62-5F3D-4B77-BC2B-EE8818D39F19}</b:Guid>
    <b:Author>
      <b:Author>
        <b:NameList>
          <b:Person>
            <b:Last>Marnau</b:Last>
            <b:First>Ninja</b:First>
          </b:Person>
          <b:Person>
            <b:Last>Schirmer</b:Last>
            <b:First>Norbert</b:First>
          </b:Person>
          <b:Person>
            <b:Last>Schlehahn</b:Last>
            <b:First>Eva</b:First>
          </b:Person>
          <b:Person>
            <b:Last>Schunter</b:Last>
            <b:First>Matthias</b:First>
          </b:Person>
        </b:NameList>
      </b:Author>
    </b:Author>
    <b:Title>TClouds</b:Title>
    <b:PeriodicalTitle>DuD</b:PeriodicalTitle>
    <b:Year>2011</b:Year>
    <b:Pages>333</b:Pages>
    <b:RefOrder>173</b:RefOrder>
  </b:Source>
  <b:Source>
    <b:Tag>Man03</b:Tag>
    <b:SourceType>ArticleInAPeriodical</b:SourceType>
    <b:Guid>{958CD457-75D6-4E79-A268-73BDEE570388}</b:Guid>
    <b:Title>Für einen Anscheinsbeweis hinsichtlich der Identität des Erklärenden bei E-Mails - Zugleich Anmerkung zu OLG Köln v. 6.9.2002 - 19 U 16/02</b:Title>
    <b:Author>
      <b:Author>
        <b:NameList>
          <b:Person>
            <b:Last>Mankowski</b:Last>
            <b:First>Peter</b:First>
          </b:Person>
        </b:NameList>
      </b:Author>
    </b:Author>
    <b:PeriodicalTitle>CR</b:PeriodicalTitle>
    <b:Year>2003</b:Year>
    <b:Pages>44</b:Pages>
    <b:RefOrder>174</b:RefOrder>
  </b:Source>
  <b:Source>
    <b:Tag>Luc09</b:Tag>
    <b:SourceType>ArticleInAPeriodical</b:SourceType>
    <b:Guid>{6FEC47EA-2DBD-426E-A147-2E85E18E394C}</b:Guid>
    <b:Author>
      <b:Author>
        <b:NameList>
          <b:Person>
            <b:Last>Luch</b:Last>
            <b:First>Anika</b:First>
            <b:Middle>D.</b:Middle>
          </b:Person>
          <b:Person>
            <b:Last>Schulz</b:Last>
            <b:First>Sönke</b:First>
            <b:Middle>E.</b:Middle>
          </b:Person>
        </b:NameList>
      </b:Author>
    </b:Author>
    <b:Title>eDaseinsvorsorge - Neuorientierung des überkommenen (Rechts-)Begriffs „Daseinsvorsorge” im Zuge technischer Entwicklungen?</b:Title>
    <b:PeriodicalTitle>MMR</b:PeriodicalTitle>
    <b:Year>2009</b:Year>
    <b:Pages>19</b:Pages>
    <b:RefOrder>175</b:RefOrder>
  </b:Source>
  <b:Source>
    <b:Tag>Loh08</b:Tag>
    <b:SourceType>ArticleInAPeriodical</b:SourceType>
    <b:Guid>{B9353575-8FF4-4111-9581-E33607DB66C1}</b:Guid>
    <b:Author>
      <b:Author>
        <b:NameList>
          <b:Person>
            <b:Last>Lohmann</b:Last>
            <b:First>Mareike</b:First>
          </b:Person>
          <b:Person>
            <b:Last>Koch</b:Last>
            <b:First>Christian</b:First>
          </b:Person>
        </b:NameList>
      </b:Author>
    </b:Author>
    <b:Title>Richtlinie des Europäischen Parlaments und des Rates über Zahlungsdienste im Binnenmarkt - Wesentliche Inhalte, Bewertung und mögliche Auswirkungen auf den europäischen Zahlungsverkehr</b:Title>
    <b:PeriodicalTitle>WM</b:PeriodicalTitle>
    <b:Year>2008</b:Year>
    <b:Pages>57</b:Pages>
    <b:RefOrder>176</b:RefOrder>
  </b:Source>
  <b:Source>
    <b:Tag>Loc06</b:Tag>
    <b:SourceType>ArticleInAPeriodical</b:SourceType>
    <b:Guid>{56300B64-C6BB-4526-8E79-08D936809495}</b:Guid>
    <b:Author>
      <b:Author>
        <b:NameList>
          <b:Person>
            <b:Last>Lochter</b:Last>
            <b:First>Manfred</b:First>
          </b:Person>
          <b:Person>
            <b:Last>Schindler</b:Last>
            <b:First>Werner</b:First>
          </b:Person>
        </b:NameList>
      </b:Author>
    </b:Author>
    <b:Title>Missbrauch von PIN-gestützten Transaktionen mitec- und Kreditkarten aus Gutachtersicht</b:Title>
    <b:PeriodicalTitle>MMR</b:PeriodicalTitle>
    <b:Year>2006</b:Year>
    <b:Pages>292</b:Pages>
    <b:RefOrder>177</b:RefOrder>
  </b:Source>
  <b:Source>
    <b:Tag>Lin11</b:Tag>
    <b:SourceType>ElectronicSource</b:SourceType>
    <b:Guid>{48C5B7BD-867F-446B-8198-946D60889B2B}</b:Guid>
    <b:Author>
      <b:Author>
        <b:NameList>
          <b:Person>
            <b:Last>Link</b:Last>
            <b:First>Jochen</b:First>
          </b:Person>
        </b:NameList>
      </b:Author>
    </b:Author>
    <b:Title>Elektromobilität und erneuerbare Energien: Lokal optimierter Einsatz von netzgekoppelten Fahrzeugen</b:Title>
    <b:Year>2011</b:Year>
    <b:City>Dortmund</b:City>
    <b:PublicationTitle>https://eldorado.tu-dortmund.de/dspace/bitstream/2003/29350/1/Dissertation.pdf</b:PublicationTitle>
    <b:Day>06.03.2012</b:Day>
    <b:Comments>ing.</b:Comments>
    <b:ShortTitle>Elektromobilität und erneuerbare Energien: Lokal optimierter Einsatz von netzgekoppelten Fahrzeugen</b:ShortTitle>
    <b:RefOrder>178</b:RefOrder>
  </b:Source>
  <b:Source>
    <b:Tag>Lin08</b:Tag>
    <b:SourceType>ArticleInAPeriodical</b:SourceType>
    <b:Guid>{F8848182-DA94-47AD-BD66-9D8242EFD198}</b:Guid>
    <b:Author>
      <b:Author>
        <b:NameList>
          <b:Person>
            <b:Last>Lindenberg</b:Last>
            <b:First>Henner</b:First>
          </b:Person>
          <b:Person>
            <b:Last>Hillmann</b:Last>
            <b:First>Georg</b:First>
          </b:Person>
        </b:NameList>
      </b:Author>
    </b:Author>
    <b:Title>Minutenreserve: Im Pool auch für kleine Leistungseinheiten attraktiv</b:Title>
    <b:Year>2008, Heft 4</b:Year>
    <b:PeriodicalTitle>ew</b:PeriodicalTitle>
    <b:Pages>48</b:Pages>
    <b:RefOrder>179</b:RefOrder>
  </b:Source>
  <b:Source>
    <b:Tag>LGW1</b:Tag>
    <b:SourceType>Case</b:SourceType>
    <b:Guid>{CD96FB9F-A66B-4F3F-8484-C1CEC33E83E8}</b:Guid>
    <b:Title>NJW-RR 1997, 701</b:Title>
    <b:Court>LG Wuppertal</b:Court>
    <b:RefOrder>180</b:RefOrder>
  </b:Source>
  <b:Source>
    <b:Tag>LGW</b:Tag>
    <b:SourceType>Case</b:SourceType>
    <b:Guid>{DBE056A2-6278-4273-9300-34A813B031C0}</b:Guid>
    <b:Title>NJW-RR 1995, 1278</b:Title>
    <b:Court>LG Weiden</b:Court>
    <b:RefOrder>181</b:RefOrder>
  </b:Source>
  <b:Source>
    <b:Tag>LGU</b:Tag>
    <b:SourceType>Case</b:SourceType>
    <b:Guid>{3B411623-0F02-404B-87E8-A08025524268}</b:Guid>
    <b:Title>NJW-RR 1999, 1511</b:Title>
    <b:Court>LG Ulm</b:Court>
    <b:RefOrder>182</b:RefOrder>
  </b:Source>
  <b:Source>
    <b:Tag>LGS</b:Tag>
    <b:SourceType>Case</b:SourceType>
    <b:Guid>{88761375-137F-4F7D-8637-383AD42A1121}</b:Guid>
    <b:Title>LG Saarbrücken NJW-RR 1996, 894</b:Title>
    <b:RefOrder>183</b:RefOrder>
  </b:Source>
  <b:Source>
    <b:Tag>LGM1</b:Tag>
    <b:SourceType>Case</b:SourceType>
    <b:Guid>{590705FD-4999-42D4-B0DD-3CFE01A90993}</b:Guid>
    <b:Title>LG München NJW-RR 1996, 893</b:Title>
    <b:RefOrder>184</b:RefOrder>
  </b:Source>
  <b:Source>
    <b:Tag>LGM</b:Tag>
    <b:SourceType>Case</b:SourceType>
    <b:Guid>{27B865D9-1EC6-42F2-AFD7-EC67583B00E3}</b:Guid>
    <b:Title>ArchivPT 1995, 228</b:Title>
    <b:Court>LG Mainz</b:Court>
    <b:RefOrder>185</b:RefOrder>
  </b:Source>
  <b:Source>
    <b:Tag>LGL</b:Tag>
    <b:SourceType>Case</b:SourceType>
    <b:Guid>{1EBD0CB1-C532-457C-9ABD-31EA89986AB3}</b:Guid>
    <b:Title>LG Landau EWiR 1994, 601</b:Title>
    <b:RefOrder>186</b:RefOrder>
  </b:Source>
  <b:Source>
    <b:Tag>LGI</b:Tag>
    <b:SourceType>Case</b:SourceType>
    <b:Guid>{CFD55120-F76A-4244-B040-DDB7B7E59354}</b:Guid>
    <b:Title>LG Ingoldstadt ArchivPT 1995, 230</b:Title>
    <b:RefOrder>187</b:RefOrder>
  </b:Source>
  <b:Source>
    <b:Tag>LGH1</b:Tag>
    <b:SourceType>Case</b:SourceType>
    <b:Guid>{49C0E43C-06E5-4694-A855-B4CFC6095B48}</b:Guid>
    <b:Title>LG Hannover MDR 1990, 728</b:Title>
    <b:RefOrder>188</b:RefOrder>
  </b:Source>
  <b:Source>
    <b:Tag>LGH</b:Tag>
    <b:SourceType>Case</b:SourceType>
    <b:Guid>{D7EAB6D8-195F-40A9-A2F5-7DDC6AC3F1B1}</b:Guid>
    <b:Title>NJW-RR 2002, 264</b:Title>
    <b:Court>LG Hamburg</b:Court>
    <b:RefOrder>189</b:RefOrder>
  </b:Source>
  <b:Source>
    <b:Tag>LGE1</b:Tag>
    <b:SourceType>Case</b:SourceType>
    <b:Guid>{2C326D2C-6C6D-43B8-8AA3-89E6C29690D0}</b:Guid>
    <b:Title>LG Erfurt ZNER 2011, 85</b:Title>
    <b:RefOrder>190</b:RefOrder>
  </b:Source>
  <b:Source>
    <b:Tag>LGE</b:Tag>
    <b:SourceType>Case</b:SourceType>
    <b:Guid>{D802FECA-93C2-4E16-840F-A80E227B7298}</b:Guid>
    <b:Title>LG Essen NJW 1994, 2365</b:Title>
    <b:RefOrder>191</b:RefOrder>
  </b:Source>
  <b:Source>
    <b:Tag>LGB1</b:Tag>
    <b:SourceType>Case</b:SourceType>
    <b:Guid>{6C4881E6-1099-4105-A660-2C2E82E98344}</b:Guid>
    <b:Title>LG Bonn CR 2004, 218</b:Title>
    <b:RefOrder>192</b:RefOrder>
  </b:Source>
  <b:Source>
    <b:Tag>LGB</b:Tag>
    <b:SourceType>Case</b:SourceType>
    <b:Guid>{AE9EB010-0C68-49D3-B7CB-806A6A391F79}</b:Guid>
    <b:Title>LG Berlin NJW-RR 1996, 895</b:Title>
    <b:RefOrder>193</b:RefOrder>
  </b:Source>
  <b:Source>
    <b:Tag>LGA</b:Tag>
    <b:SourceType>Case</b:SourceType>
    <b:Guid>{A76D1FE4-4710-4E10-A78D-2242B9DCD4C6}</b:Guid>
    <b:Title>LG Aachen NJW 1995, 2364</b:Title>
    <b:RefOrder>194</b:RefOrder>
  </b:Source>
  <b:Source>
    <b:Tag>Leu11</b:Tag>
    <b:SourceType>BookSection</b:SourceType>
    <b:Guid>{CA601405-8791-4020-8E50-0E9561ED9BF6}</b:Guid>
    <b:Title>Münchener Anwalts Handbuch IT-Recht</b:Title>
    <b:Year>2. Auflage 2011</b:Year>
    <b:City>München</b:City>
    <b:Author>
      <b:Editor>
        <b:NameList>
          <b:Person>
            <b:Last>Leupold</b:Last>
            <b:First>Andreas</b:First>
          </b:Person>
          <b:Person>
            <b:Last>Glossner</b:Last>
            <b:First>Silke</b:First>
          </b:Person>
        </b:NameList>
      </b:Editor>
    </b:Author>
    <b:ShortTitle>Münchener Anwalts Handbuch IT-Recht</b:ShortTitle>
    <b:RefOrder>195</b:RefOrder>
  </b:Source>
  <b:Source>
    <b:Tag>Lei85</b:Tag>
    <b:SourceType>Book</b:SourceType>
    <b:Guid>{0C7B0378-B9F5-47A5-95A4-DF58B45B0742}</b:Guid>
    <b:Author>
      <b:Author>
        <b:NameList>
          <b:Person>
            <b:Last>Leipold</b:Last>
            <b:First>Dieter</b:First>
          </b:Person>
        </b:NameList>
      </b:Author>
    </b:Author>
    <b:Title>Beweismaß und Beweislast im Zivilprozeß</b:Title>
    <b:Year>1985</b:Year>
    <b:City>Berlin</b:City>
    <b:ShortTitle>Beweismaß und Beweislast im Zivilprozeß</b:ShortTitle>
    <b:RefOrder>196</b:RefOrder>
  </b:Source>
  <b:Source>
    <b:Tag>Lar91</b:Tag>
    <b:SourceType>Book</b:SourceType>
    <b:Guid>{E892BAA3-DCF3-4DE2-805E-211060F23649}</b:Guid>
    <b:Author>
      <b:Author>
        <b:NameList>
          <b:Person>
            <b:Last>Larenz</b:Last>
            <b:First>Karl</b:First>
          </b:Person>
        </b:NameList>
      </b:Author>
    </b:Author>
    <b:Title>Methodenlehre der Rechtswissenschaft</b:Title>
    <b:Year>6. Auflage 1991</b:Year>
    <b:City>Berlin</b:City>
    <b:ShortTitle>Methodenlehre der Rechtswissenschaft</b:ShortTitle>
    <b:RefOrder>197</b:RefOrder>
  </b:Source>
  <b:Source>
    <b:Tag>Lan11</b:Tag>
    <b:SourceType>BookSection</b:SourceType>
    <b:Guid>{E9A4E4C2-1BC2-481C-A472-1067D82065CB}</b:Guid>
    <b:Title>Umweltrecht</b:Title>
    <b:Year>61. Auflage 2011</b:Year>
    <b:City>München</b:City>
    <b:Author>
      <b:Editor>
        <b:NameList>
          <b:Person>
            <b:Last>Landmann</b:Last>
            <b:First>Robert</b:First>
          </b:Person>
          <b:Person>
            <b:Last>Rohmer</b:Last>
            <b:First>Gustav</b:First>
          </b:Person>
        </b:NameList>
      </b:Editor>
    </b:Author>
    <b:ShortTitle>Umweltrecht</b:ShortTitle>
    <b:RefOrder>198</b:RefOrder>
  </b:Source>
  <b:Source>
    <b:Tag>Lad10</b:Tag>
    <b:SourceType>Misc</b:SourceType>
    <b:Guid>{1840B100-3E4B-49A7-B814-B4749E2A9AFF}</b:Guid>
    <b:Title>Ladestationen für Elektrofahrzeuge - der Schlüssel zur Elektromobilität</b:Title>
    <b:Year>Galvanotechnik 10/2010, 2415</b:Year>
    <b:PeriodicalTitle>Galvanotechnik</b:PeriodicalTitle>
    <b:Pages>2415</b:Pages>
    <b:ShortTitle>Ladestationen für Elektrofahrzeuge - der Schlüssel zur Elektromobilität</b:ShortTitle>
    <b:RefOrder>199</b:RefOrder>
  </b:Source>
  <b:Source>
    <b:Tag>Kun01</b:Tag>
    <b:SourceType>ArticleInAPeriodical</b:SourceType>
    <b:Guid>{0FDFAD88-DD57-4B0C-ABE5-941D10AE613E}</b:Guid>
    <b:Title>Rechtliche Risiken des Internet-Banking</b:Title>
    <b:Author>
      <b:Author>
        <b:NameList>
          <b:Person>
            <b:Last>Kunst</b:Last>
            <b:First>Diana</b:First>
          </b:Person>
        </b:NameList>
      </b:Author>
    </b:Author>
    <b:PeriodicalTitle>MMR-Beil.</b:PeriodicalTitle>
    <b:Year>2001</b:Year>
    <b:Pages>23</b:Pages>
    <b:RefOrder>200</b:RefOrder>
  </b:Source>
  <b:Source>
    <b:Tag>Küh05</b:Tag>
    <b:SourceType>ArticleInAPeriodical</b:SourceType>
    <b:Guid>{0EA5B6D9-CF40-4109-851C-C3CA4652B65D}</b:Guid>
    <b:Title>Das runderneuerte Energiewirtschaftsgesetz - Zentrale Neuerungen und erste Probleme -</b:Title>
    <b:Year>2005</b:Year>
    <b:Author>
      <b:Author>
        <b:NameList>
          <b:Person>
            <b:Last>Kühling</b:Last>
            <b:First>Jürgen</b:First>
          </b:Person>
          <b:Person>
            <b:Last>el-Barudi</b:Last>
            <b:First>Stefan</b:First>
          </b:Person>
        </b:NameList>
      </b:Author>
    </b:Author>
    <b:PeriodicalTitle>DVBl</b:PeriodicalTitle>
    <b:Pages>1470</b:Pages>
    <b:RefOrder>201</b:RefOrder>
  </b:Source>
  <b:Source>
    <b:Tag>Küh04</b:Tag>
    <b:SourceType>Book</b:SourceType>
    <b:Guid>{8B064FE9-EFCF-4E40-A864-91804335504A}</b:Guid>
    <b:Author>
      <b:Author>
        <b:NameList>
          <b:Person>
            <b:Last>Kühling</b:Last>
            <b:First>Jürgen</b:First>
          </b:Person>
        </b:NameList>
      </b:Author>
    </b:Author>
    <b:Title>Sektorspezifische Regulierung in den Netzwirtschaften</b:Title>
    <b:Year>2004</b:Year>
    <b:City>München</b:City>
    <b:ShortTitle>Sektorspezifische Regulierung in den Netzwirtschaften</b:ShortTitle>
    <b:RefOrder>202</b:RefOrder>
  </b:Source>
  <b:Source>
    <b:Tag>Kuh02</b:Tag>
    <b:SourceType>BookSection</b:SourceType>
    <b:Guid>{0F72145C-C535-4641-BA55-61ED3EA517C3}</b:Guid>
    <b:Title>Der Verwaltungsprozess</b:Title>
    <b:Year>3. Auflage 2002</b:Year>
    <b:City>München</b:City>
    <b:Author>
      <b:Editor>
        <b:NameList>
          <b:Person>
            <b:Last>Kuhla</b:Last>
            <b:First>Wolfgang</b:First>
          </b:Person>
          <b:Person>
            <b:Last>Hüttenbrink</b:Last>
            <b:First>Jost</b:First>
          </b:Person>
          <b:Person>
            <b:Last>Endler</b:Last>
            <b:First>Jan</b:First>
          </b:Person>
        </b:NameList>
      </b:Editor>
    </b:Author>
    <b:ShortTitle>Der Verwaltungsprozess</b:ShortTitle>
    <b:RefOrder>203</b:RefOrder>
  </b:Source>
  <b:Source>
    <b:Tag>Kud09</b:Tag>
    <b:SourceType>ArticleInAPeriodical</b:SourceType>
    <b:Guid>{53F05689-08CE-46A7-8DA3-90B5F09708B1}</b:Guid>
    <b:Author>
      <b:Author>
        <b:NameList>
          <b:Person>
            <b:Last>Kudlich</b:Last>
            <b:First>Hans</b:First>
          </b:Person>
          <b:Person>
            <b:Last>Christensen</b:Last>
            <b:First>Ralph</b:First>
          </b:Person>
        </b:NameList>
      </b:Author>
    </b:Author>
    <b:Title>Die Lücken-Lüge</b:Title>
    <b:Year>2009</b:Year>
    <b:PeriodicalTitle>JZ</b:PeriodicalTitle>
    <b:Pages>943</b:Pages>
    <b:RefOrder>204</b:RefOrder>
  </b:Source>
  <b:Source>
    <b:Tag>Kre06</b:Tag>
    <b:SourceType>ArticleInAPeriodical</b:SourceType>
    <b:Guid>{68056B20-A497-47A8-9580-2E6D48E1EA1A}</b:Guid>
    <b:Author>
      <b:Author>
        <b:NameList>
          <b:Person>
            <b:Last>Krebs</b:Last>
            <b:First>Harald</b:First>
          </b:Person>
        </b:NameList>
      </b:Author>
    </b:Author>
    <b:Title>Die Entscheidung der Regulierungsbehörde nach § 110 Abs. 4 EnWG</b:Title>
    <b:PeriodicalTitle>RdE</b:PeriodicalTitle>
    <b:Year>2006</b:Year>
    <b:Pages>115</b:Pages>
    <b:RefOrder>205</b:RefOrder>
  </b:Source>
  <b:Source>
    <b:Tag>Kra08</b:Tag>
    <b:SourceType>ArticleInAPeriodical</b:SourceType>
    <b:Guid>{762BEE2B-C8AA-4EE4-B77E-C1F3CAAF35FF}</b:Guid>
    <b:Author>
      <b:Author>
        <b:NameList>
          <b:Person>
            <b:Last>Krajewski</b:Last>
            <b:First>Markus</b:First>
          </b:Person>
        </b:NameList>
      </b:Author>
    </b:Author>
    <b:Title>Rechtsbegriff Daseinsvorsorge?</b:Title>
    <b:PeriodicalTitle>VerwArch</b:PeriodicalTitle>
    <b:Year>99 (2008)</b:Year>
    <b:Pages>174</b:Pages>
    <b:RefOrder>206</b:RefOrder>
  </b:Source>
  <b:Source>
    <b:Tag>Kot10</b:Tag>
    <b:SourceType>ArticleInAPeriodical</b:SourceType>
    <b:Guid>{6B49F1B1-7256-4522-A55F-3CF028E7BB8E}</b:Guid>
    <b:Author>
      <b:Author>
        <b:NameList>
          <b:Person>
            <b:Last>Kotulla</b:Last>
            <b:First>Michael</b:First>
          </b:Person>
          <b:Person>
            <b:Last>Rolfsen</b:Last>
            <b:First>Michael</b:First>
          </b:Person>
        </b:NameList>
      </b:Author>
    </b:Author>
    <b:Title>Zur Begründbarkeit von Zustimmungsvorbehalten zu Gunsten des Bundestages beim Erlass von Rechtsverordnungen</b:Title>
    <b:Year>2010</b:Year>
    <b:PeriodicalTitle>NVwZ</b:PeriodicalTitle>
    <b:Pages>943</b:Pages>
    <b:RefOrder>207</b:RefOrder>
  </b:Source>
  <b:Source>
    <b:Tag>Kop08</b:Tag>
    <b:SourceType>Book</b:SourceType>
    <b:Guid>{BDFC99DF-7D67-41ED-80F5-4AFECDCDAC2A}</b:Guid>
    <b:Author>
      <b:Author>
        <b:NameList>
          <b:Person>
            <b:Last>Kopp</b:Last>
            <b:First>Ferdinand</b:First>
            <b:Middle>O.</b:Middle>
          </b:Person>
          <b:Person>
            <b:Last>Ramsauer</b:Last>
            <b:First>Ulrich</b:First>
          </b:Person>
        </b:NameList>
      </b:Author>
    </b:Author>
    <b:Title>VwVfG - Verwaltungsverfahrensgesetz Kommentar</b:Title>
    <b:Year>10. Auflage 2008</b:Year>
    <b:City>München</b:City>
    <b:ShortTitle>VwVfG</b:ShortTitle>
    <b:RefOrder>208</b:RefOrder>
  </b:Source>
  <b:Source>
    <b:Tag>Kol65</b:Tag>
    <b:SourceType>ArticleInAPeriodical</b:SourceType>
    <b:Guid>{333CE466-5236-4DA4-A1EC-13777447483E}</b:Guid>
    <b:Author>
      <b:Author>
        <b:NameList>
          <b:Person>
            <b:Last>Kollhosser</b:Last>
            <b:First>Helmut</b:First>
          </b:Person>
        </b:NameList>
      </b:Author>
    </b:Author>
    <b:Title>Anscheinsbeweis und freie richterliche Beweiswürdigung</b:Title>
    <b:PeriodicalTitle>AcP</b:PeriodicalTitle>
    <b:Year>165 (1965)</b:Year>
    <b:Pages>46</b:Pages>
    <b:RefOrder>209</b:RefOrder>
  </b:Source>
  <b:Source>
    <b:Tag>Kol12</b:Tag>
    <b:SourceType>ArticleInAPeriodical</b:SourceType>
    <b:Guid>{CA909906-E1FF-4367-9EFA-BFD649FDD044}</b:Guid>
    <b:Author>
      <b:Author>
        <b:NameList>
          <b:Person>
            <b:Last>Kollrus</b:Last>
            <b:First>Harald</b:First>
          </b:Person>
        </b:NameList>
      </b:Author>
    </b:Author>
    <b:Title>Missbräuchliche Abhebung von Bargeld an Geldautomaten</b:Title>
    <b:PeriodicalTitle>MDR</b:PeriodicalTitle>
    <b:Year>2012</b:Year>
    <b:Pages>377</b:Pages>
    <b:RefOrder>210</b:RefOrder>
  </b:Source>
  <b:Source>
    <b:Tag>Koe08</b:Tag>
    <b:SourceType>Book</b:SourceType>
    <b:Guid>{6D5A5A6E-6805-42FA-9C12-2CBC55344D01}</b:Guid>
    <b:Title>Energierecht</b:Title>
    <b:Author>
      <b:Author>
        <b:NameList>
          <b:Person>
            <b:Last>Koenig</b:Last>
            <b:First>Christian</b:First>
          </b:Person>
          <b:Person>
            <b:Last>Kühling</b:Last>
            <b:First>Jürgen</b:First>
          </b:Person>
          <b:Person>
            <b:Last>Rasbach</b:Last>
            <b:First>Winfried</b:First>
          </b:Person>
        </b:NameList>
      </b:Author>
    </b:Author>
    <b:Year>2. Auflage 2008</b:Year>
    <b:City>Frankfurt am Main</b:City>
    <b:ShortTitle>Energierecht</b:ShortTitle>
    <b:RefOrder>211</b:RefOrder>
  </b:Source>
  <b:Source>
    <b:Tag>Klu02</b:Tag>
    <b:SourceType>Book</b:SourceType>
    <b:Guid>{5717E063-D96C-4566-B6AF-DB8AB89DD996}</b:Guid>
    <b:Title>Etymologisches Wörterbuch der deutschen Sprache</b:Title>
    <b:Year>24. Auflage 2002</b:Year>
    <b:City>Berlin</b:City>
    <b:Author>
      <b:Author>
        <b:NameList>
          <b:Person>
            <b:Last>Kluge</b:Last>
            <b:First>Friedrich</b:First>
          </b:Person>
        </b:NameList>
      </b:Author>
    </b:Author>
    <b:ShortTitle>Etymologisches Wörterbuch der deutschen Sprache</b:ShortTitle>
    <b:RefOrder>212</b:RefOrder>
  </b:Source>
  <b:Source>
    <b:Tag>Kla10</b:Tag>
    <b:SourceType>ArticleInAPeriodical</b:SourceType>
    <b:Guid>{DF7F251B-0F12-4AEA-A3C0-10D5B580D976}</b:Guid>
    <b:Title>Die Abgrenzung des räumlich relevanten Marktes bei Strom und Gas nach deutschem und europäischem Kartellrecht</b:Title>
    <b:Year>Special 2.2010 zu Heft 14</b:Year>
    <b:Author>
      <b:Author>
        <b:NameList>
          <b:Person>
            <b:Last>Klaue</b:Last>
            <b:First>Siegfried</b:First>
          </b:Person>
          <b:Person>
            <b:Last>Schwintowski</b:Last>
            <b:First>Hans-Peter</b:First>
          </b:Person>
        </b:NameList>
      </b:Author>
    </b:Author>
    <b:PeriodicalTitle>BB</b:PeriodicalTitle>
    <b:Pages>1</b:Pages>
    <b:RefOrder>213</b:RefOrder>
  </b:Source>
  <b:Source>
    <b:Tag>KIT10</b:Tag>
    <b:SourceType>Misc</b:SourceType>
    <b:Guid>{DF9E70C3-5516-4E46-9BD6-2701682451F3}</b:Guid>
    <b:Title>KIT: Sachverhaltserfassung E-Mobilität, MeRegio Mobil AP 832</b:Title>
    <b:Year>Stand 30.07.2010</b:Year>
    <b:ShortTitle>KIT: MeRegio Mobil AP 832</b:ShortTitle>
    <b:RefOrder>214</b:RefOrder>
  </b:Source>
  <b:Source>
    <b:Tag>Kin06</b:Tag>
    <b:SourceType>ArticleInAPeriodical</b:SourceType>
    <b:Guid>{CE6B01EF-49D0-43B0-8929-226C8B999391}</b:Guid>
    <b:Title>Rechte und Pflichten im Umgang mit PIN und TAN</b:Title>
    <b:Author>
      <b:Author>
        <b:NameList>
          <b:Person>
            <b:Last>Kind</b:Last>
            <b:First>Michael</b:First>
          </b:Person>
          <b:Person>
            <b:Last>Werner</b:Last>
            <b:First>Dennis</b:First>
          </b:Person>
        </b:NameList>
      </b:Author>
    </b:Author>
    <b:PeriodicalTitle>CR</b:PeriodicalTitle>
    <b:Year>2006</b:Year>
    <b:Pages>353</b:Pages>
    <b:RefOrder>215</b:RefOrder>
  </b:Source>
  <b:Source>
    <b:Tag>Keß10</b:Tag>
    <b:SourceType>ArticleInAPeriodical</b:SourceType>
    <b:Guid>{5A6568A6-F813-4455-BA3A-F616A302539E}</b:Guid>
    <b:LCID>uz-Cyrl-UZ</b:LCID>
    <b:Author>
      <b:Author>
        <b:NameList>
          <b:Person>
            <b:Last>Keßeler</b:Last>
            <b:First>Ron</b:First>
          </b:Person>
          <b:Person>
            <b:Last>Daamen</b:Last>
            <b:First>Ulrich</b:First>
          </b:Person>
          <b:Person>
            <b:Last>Brüggendick</b:Last>
            <b:First>Kai</b:First>
          </b:Person>
        </b:NameList>
      </b:Author>
    </b:Author>
    <b:Title>Stromspeicher - erste Handlungsoptionen für Energieversorgungsunternehmen</b:Title>
    <b:PeriodicalTitle>emw</b:PeriodicalTitle>
    <b:Year>5/2010</b:Year>
    <b:Pages>34</b:Pages>
    <b:RefOrder>216</b:RefOrder>
  </b:Source>
  <b:Source>
    <b:Tag>Kei10</b:Tag>
    <b:SourceType>ArticleInAPeriodical</b:SourceType>
    <b:Guid>{917B5A43-A7AA-41B7-AA2C-294836F3AB4E}</b:Guid>
    <b:Author>
      <b:Author>
        <b:NameList>
          <b:Person>
            <b:Last>Keil</b:Last>
            <b:First>Eric</b:First>
          </b:Person>
          <b:Person>
            <b:Last>Schmelzer</b:Last>
            <b:First>Knut</b:First>
          </b:Person>
        </b:NameList>
      </b:Author>
    </b:Author>
    <b:Title>Systemintegration von Elektromobilität, Herausforderung an das Energiewirtschaftsrecht, eine Standortbestimmung - Teil 2</b:Title>
    <b:PeriodicalTitle>ZNER</b:PeriodicalTitle>
    <b:Year>2010</b:Year>
    <b:Pages>563</b:Pages>
    <b:RefOrder>217</b:RefOrder>
  </b:Source>
  <b:Source>
    <b:Tag>Kar10</b:Tag>
    <b:SourceType>ArticleInAPeriodical</b:SourceType>
    <b:Guid>{CBAC7413-22F2-45CC-AA8C-F39AA7509D69}</b:Guid>
    <b:Author>
      <b:Author>
        <b:NameList>
          <b:Person>
            <b:Last>Karg</b:Last>
            <b:First>Moritz</b:First>
          </b:Person>
        </b:NameList>
      </b:Author>
    </b:Author>
    <b:Title>Datenschutzrechtliche Rahmenbedingungen beim Einsatz intelligenter Zähler</b:Title>
    <b:PeriodicalTitle>DuD</b:PeriodicalTitle>
    <b:Year>2010</b:Year>
    <b:Pages>365</b:Pages>
    <b:RefOrder>218</b:RefOrder>
  </b:Source>
  <b:Source>
    <b:Tag>Kar06</b:Tag>
    <b:SourceType>ArticleInAPeriodical</b:SourceType>
    <b:Guid>{D7E3B94E-678E-41E3-8079-2002489AE52B}</b:Guid>
    <b:Author>
      <b:Author>
        <b:NameList>
          <b:Person>
            <b:Last>Karper</b:Last>
            <b:First>Irene</b:First>
          </b:Person>
        </b:NameList>
      </b:Author>
    </b:Author>
    <b:Title>Sorgfaltspflichten beim Online-Banking – Der Bankkunde als Netzwerkprofi?</b:Title>
    <b:PeriodicalTitle>DuD</b:PeriodicalTitle>
    <b:Year>2006</b:Year>
    <b:Pages>215</b:Pages>
    <b:RefOrder>219</b:RefOrder>
  </b:Source>
  <b:Source>
    <b:Tag>Kah03</b:Tag>
    <b:SourceType>BookSection</b:SourceType>
    <b:Guid>{50AD2CD3-3710-4ABA-AA12-866DA7EB9BA7}</b:Guid>
    <b:Author>
      <b:Editor>
        <b:NameList>
          <b:Person>
            <b:Last>Kahmann</b:Last>
            <b:First>Martin</b:First>
          </b:Person>
          <b:Person>
            <b:Last>Zayer</b:Last>
            <b:First>Peter</b:First>
          </b:Person>
        </b:NameList>
      </b:Editor>
    </b:Author>
    <b:Title>Handbuch Elektrizitätsmesstechnik</b:Title>
    <b:Year>2003</b:Year>
    <b:City>Frabkfurt am Main</b:City>
    <b:Publisher>VWEW Energieverlag</b:Publisher>
    <b:ShortTitle>Elektrizitätsmesstechnik</b:ShortTitle>
    <b:RefOrder>220</b:RefOrder>
  </b:Source>
  <b:Source>
    <b:Tag>Jop09</b:Tag>
    <b:SourceType>ArticleInAPeriodical</b:SourceType>
    <b:Guid>{FF232556-3CBC-4DBF-8E8D-B6DA50FDEC0A}</b:Guid>
    <b:Title>Virtuelle Kraftwerke als Schlüsselelemente einer hochdynamischen Netzführung</b:Title>
    <b:Year>2009</b:Year>
    <b:Pages>58</b:Pages>
    <b:Author>
      <b:Author>
        <b:NameList>
          <b:Person>
            <b:Last>Jopp</b:Last>
            <b:First>Klaus</b:First>
          </b:Person>
        </b:NameList>
      </b:Author>
    </b:Author>
    <b:PeriodicalTitle>ew</b:PeriodicalTitle>
    <b:RefOrder>221</b:RefOrder>
  </b:Source>
  <b:Source>
    <b:Tag>Jan11</b:Tag>
    <b:SourceType>ArticleInAPeriodical</b:SourceType>
    <b:Guid>{36B0630B-31E1-4F16-83BA-DD519CDB8336}</b:Guid>
    <b:Title>Datenschutz für Smart Meter – Spezifische Neuregelungen im EnWG</b:Title>
    <b:Author>
      <b:Author>
        <b:NameList>
          <b:Person>
            <b:Last>Jandt</b:Last>
            <b:First>Silke</b:First>
          </b:Person>
          <b:Person>
            <b:Last>Roßnagel</b:Last>
            <b:First>Alexander</b:First>
          </b:Person>
          <b:Person>
            <b:Last>Volland</b:Last>
            <b:First>Bernd</b:First>
          </b:Person>
        </b:NameList>
      </b:Author>
    </b:Author>
    <b:PeriodicalTitle>ZD</b:PeriodicalTitle>
    <b:Year>2011</b:Year>
    <b:Pages>99</b:Pages>
    <b:RefOrder>222</b:RefOrder>
  </b:Source>
  <b:Source>
    <b:Tag>Jan09</b:Tag>
    <b:SourceType>ArticleInAPeriodical</b:SourceType>
    <b:Guid>{1C506792-5EA2-414A-BE2F-E3667714552C}</b:Guid>
    <b:Author>
      <b:Author>
        <b:NameList>
          <b:Person>
            <b:Last>Jandt</b:Last>
            <b:First>Silke</b:First>
          </b:Person>
        </b:NameList>
      </b:Author>
    </b:Author>
    <b:Title>Die Mitwirkung Dritter bei der Signaturerzeugung</b:Title>
    <b:PeriodicalTitle>K&amp;R</b:PeriodicalTitle>
    <b:Year>2009</b:Year>
    <b:Pages>548</b:Pages>
    <b:RefOrder>223</b:RefOrder>
  </b:Source>
  <b:Source>
    <b:Tag>Jac12</b:Tag>
    <b:SourceType>ArticleInAPeriodical</b:SourceType>
    <b:Guid>{81263FB7-251D-44D1-83CC-F6A365F7BAF2}</b:Guid>
    <b:Author>
      <b:Author>
        <b:NameList>
          <b:Person>
            <b:Last>Jacobshagen</b:Last>
            <b:First>Ulf</b:First>
          </b:Person>
          <b:Person>
            <b:Last>Kachel</b:Last>
            <b:First>Markus</b:First>
          </b:Person>
          <b:Person>
            <b:Last>Baxmann</b:Last>
            <b:First>Juliane</b:First>
          </b:Person>
        </b:NameList>
      </b:Author>
    </b:Author>
    <b:Title>Geschlossene Verteilernetze und Kundenanlagen als neuer Maßstab der Regulierung</b:Title>
    <b:PeriodicalTitle>IR</b:PeriodicalTitle>
    <b:Year>2012</b:Year>
    <b:Pages>2</b:Pages>
    <b:RefOrder>224</b:RefOrder>
  </b:Source>
  <b:Source>
    <b:Tag>Ise07</b:Tag>
    <b:SourceType>BookSection</b:SourceType>
    <b:Guid>{B7930CA5-EE6D-41C8-AAA8-2A3476888FFC}</b:Guid>
    <b:Title>Handbuch des Staatsrechts, Band V</b:Title>
    <b:Year>3. Auflage 2007</b:Year>
    <b:City>Heidelberg</b:City>
    <b:Author>
      <b:Editor>
        <b:NameList>
          <b:Person>
            <b:Last>Isensee</b:Last>
            <b:First>Josef</b:First>
          </b:Person>
          <b:Person>
            <b:Last>Kirchhof</b:Last>
            <b:First>Paul</b:First>
          </b:Person>
        </b:NameList>
      </b:Editor>
    </b:Author>
    <b:ShortTitle>HStR, Band V</b:ShortTitle>
    <b:RefOrder>225</b:RefOrder>
  </b:Source>
  <b:Source>
    <b:Tag>Imp11</b:Tag>
    <b:SourceType>DocumentFromInternetSite</b:SourceType>
    <b:Guid>{7B49AA3B-6B8F-4272-AA0D-CC406238383E}</b:Guid>
    <b:Title>Impact Assessment Study on the review of the Measuring Instruments Directive 2004/22/EC, Background document 4 - Details relevant for impact assessment of 13 sectors</b:Title>
    <b:Year>März 2011</b:Year>
    <b:ShortTitle>Impact Assessment Study on the review of the Measuring Instruments Directive 2004/22/EC, Background document 4 - Details relevant for impact assessment of 13 sectors</b:ShortTitle>
    <b:Pages>online über http://ec.europa.eu/enterprise/sectors/legal-metrology-and-prepack/measuring-instruments/public-consultation/index_en.htm</b:Pages>
    <b:ThesisType>05.04.2012</b:ThesisType>
    <b:InternetSiteTitle>online über http://ec.europa.eu/enterprise/sectors/legal-metrology-and-prepack/measuring-instruments/public-consultation/index_en.htm</b:InternetSiteTitle>
    <b:DayAccessed>05.04.2012</b:DayAccessed>
    <b:Author>
      <b:Author>
        <b:Corporate>Europäische Kommission</b:Corporate>
      </b:Author>
    </b:Author>
    <b:RefOrder>226</b:RefOrder>
  </b:Source>
  <b:Source>
    <b:Tag>Imm07</b:Tag>
    <b:SourceType>BookSection</b:SourceType>
    <b:Guid>{AA39E94B-5617-4F00-A1B5-2D356B58C1C2}</b:Guid>
    <b:Author>
      <b:Editor>
        <b:NameList>
          <b:Person>
            <b:Last>Immenga</b:Last>
            <b:First>Ulrich</b:First>
          </b:Person>
          <b:Person>
            <b:Last>Mestmäcker</b:Last>
            <b:First>Ernst-Joachim</b:First>
          </b:Person>
        </b:NameList>
      </b:Editor>
    </b:Author>
    <b:Title>Wettbewerbsrecht: GWB</b:Title>
    <b:Year>4. Auflage 2007</b:Year>
    <b:City>München</b:City>
    <b:ShortTitle>GWB</b:ShortTitle>
    <b:RefOrder>227</b:RefOrder>
  </b:Source>
  <b:Source>
    <b:Tag>Hüb11</b:Tag>
    <b:SourceType>ArticleInAPeriodical</b:SourceType>
    <b:Guid>{31F65793-F2B8-4419-A957-CEF5E35A5678}</b:Guid>
    <b:Title>Wie wirken Standards und Normen im Recht?</b:Title>
    <b:Year>2011</b:Year>
    <b:Author>
      <b:Author>
        <b:NameList>
          <b:Person>
            <b:Last>Hübner</b:Last>
            <b:First>Gerold</b:First>
          </b:Person>
        </b:NameList>
      </b:Author>
    </b:Author>
    <b:PeriodicalTitle>DuD</b:PeriodicalTitle>
    <b:Pages>56</b:Pages>
    <b:RefOrder>228</b:RefOrder>
  </b:Source>
  <b:Source>
    <b:Tag>Hol06</b:Tag>
    <b:SourceType>Book</b:SourceType>
    <b:Guid>{E9E4036D-2FD8-4928-91BF-A8D6AEFCAA7B}</b:Guid>
    <b:Title>Telekommunikationsrecht, Rahmenbedingungen – Regulierungspraxis</b:Title>
    <b:Year>2. Auflage 2006</b:Year>
    <b:City>München</b:City>
    <b:Author>
      <b:Editor>
        <b:NameList>
          <b:Person>
            <b:Last>Holznagel</b:Last>
            <b:First>Bernd</b:First>
          </b:Person>
          <b:Person>
            <b:Last>Enaux</b:Last>
            <b:First>Christoph</b:First>
          </b:Person>
          <b:Person>
            <b:Last>Nienhaus</b:Last>
            <b:First>Christian</b:First>
          </b:Person>
        </b:NameList>
      </b:Editor>
      <b:Author>
        <b:NameList>
          <b:Person>
            <b:Last>Holznagel</b:Last>
            <b:First>Bernd</b:First>
          </b:Person>
          <b:Person>
            <b:Last>Enaux</b:Last>
            <b:First>Christoph</b:First>
          </b:Person>
          <b:Person>
            <b:Last>Nienhaus</b:Last>
            <b:First>Christian</b:First>
          </b:Person>
        </b:NameList>
      </b:Author>
    </b:Author>
    <b:ShortTitle>Telekommunikationsrecht</b:ShortTitle>
    <b:RefOrder>229</b:RefOrder>
  </b:Source>
  <b:Source>
    <b:Tag>Hof05</b:Tag>
    <b:SourceType>ArticleInAPeriodical</b:SourceType>
    <b:Guid>{B2FB71AB-57BA-459D-BD82-83D55ECD63D0}</b:Guid>
    <b:Author>
      <b:Author>
        <b:NameList>
          <b:Person>
            <b:Last>Hofmann</b:Last>
            <b:First>Christian</b:First>
          </b:Person>
        </b:NameList>
      </b:Author>
    </b:Author>
    <b:Title>Schadensverteilung bei Missbrauch der ec-Karte - Zugleich Besprechung des Urteils des BGH vom 5. Oktober 2004 = WM 2004, 2309 -</b:Title>
    <b:PeriodicalTitle>WM</b:PeriodicalTitle>
    <b:Year>2005</b:Year>
    <b:Pages>441</b:Pages>
    <b:RefOrder>230</b:RefOrder>
  </b:Source>
  <b:Source>
    <b:Tag>Hoe10</b:Tag>
    <b:SourceType>BookSection</b:SourceType>
    <b:Guid>{0C8AE1D4-1D63-480A-8C27-A8685E9DA553}</b:Guid>
    <b:Author>
      <b:Editor>
        <b:NameList>
          <b:Person>
            <b:Last>Hoeren</b:Last>
            <b:First>Thomas</b:First>
          </b:Person>
          <b:Person>
            <b:Last>Sieber</b:Last>
            <b:First>Ulrich</b:First>
          </b:Person>
        </b:NameList>
      </b:Editor>
    </b:Author>
    <b:Title>Handbuch Mulitmediarecht - Rechtsfragen des elektronischen Geschäftsverkehrs</b:Title>
    <b:Year>2012</b:Year>
    <b:City>München</b:City>
    <b:ShortTitle>Handbuch Mulitmediarecht</b:ShortTitle>
    <b:RefOrder>231</b:RefOrder>
  </b:Source>
  <b:Source>
    <b:Tag>Heu67</b:Tag>
    <b:SourceType>ArticleInAPeriodical</b:SourceType>
    <b:Guid>{8CA5BB45-3948-4717-B092-5DCB8DD6BAB8}</b:Guid>
    <b:Author>
      <b:Author>
        <b:NameList>
          <b:Person>
            <b:Last>Heuell</b:Last>
            <b:First>Peter</b:First>
          </b:Person>
        </b:NameList>
      </b:Author>
    </b:Author>
    <b:Title>Smart-Meter-Schutzprofil: Alles auf Anfang!</b:Title>
    <b:Year>2011, Heft 6-7</b:Year>
    <b:PeriodicalTitle>ew</b:PeriodicalTitle>
    <b:Pages>3</b:Pages>
    <b:RefOrder>232</b:RefOrder>
  </b:Source>
  <b:Source>
    <b:Tag>Her08</b:Tag>
    <b:SourceType>Book</b:SourceType>
    <b:Guid>{79910E48-E978-4BE8-9C47-556B5FA6D26D}</b:Guid>
    <b:Author>
      <b:Author>
        <b:NameList>
          <b:Person>
            <b:Last>Herdegen</b:Last>
            <b:First>Matthias</b:First>
          </b:Person>
        </b:NameList>
      </b:Author>
    </b:Author>
    <b:Title>Europarecht</b:Title>
    <b:Year>10. Auflage 2008</b:Year>
    <b:City>München</b:City>
    <b:ShortTitle>Europarecht</b:ShortTitle>
    <b:RefOrder>233</b:RefOrder>
  </b:Source>
  <b:Source>
    <b:Tag>Hel02</b:Tag>
    <b:SourceType>ArticleInAPeriodical</b:SourceType>
    <b:Guid>{9FFC8707-5309-43BC-9628-0F5AFB8137DD}</b:Guid>
    <b:Author>
      <b:Author>
        <b:NameList>
          <b:Person>
            <b:Last>Hellmich</b:Last>
            <b:First>Stefanie</b:First>
          </b:Person>
        </b:NameList>
      </b:Author>
    </b:Author>
    <b:Title>Location Based Services - Datenschutzrechtliche Anforderungen</b:Title>
    <b:PeriodicalTitle>MMR</b:PeriodicalTitle>
    <b:Year>2002</b:Year>
    <b:Pages>152</b:Pages>
    <b:RefOrder>234</b:RefOrder>
  </b:Source>
  <b:Source>
    <b:Tag>Hec11</b:Tag>
    <b:SourceType>ArticleInAPeriodical</b:SourceType>
    <b:Guid>{279855A1-45A7-4DD3-98CC-270391C6D30B}</b:Guid>
    <b:Author>
      <b:Author>
        <b:NameList>
          <b:Person>
            <b:Last>Hechtfischer</b:Last>
            <b:First>Knut</b:First>
          </b:Person>
          <b:Person>
            <b:Last>Pawlitschek</b:Last>
            <b:First>Frank</b:First>
          </b:Person>
        </b:NameList>
      </b:Author>
    </b:Author>
    <b:Title>Das Auto lernt zählen: Mobile Metering - Ladeinfrastruktur für E-Fahrzeuge</b:Title>
    <b:PeriodicalTitle>Automobil Elektronik</b:PeriodicalTitle>
    <b:Year>02/2011</b:Year>
    <b:Pages>58</b:Pages>
    <b:RefOrder>235</b:RefOrder>
  </b:Source>
  <b:Source>
    <b:Tag>Hau08</b:Tag>
    <b:SourceType>DocumentFromInternetSite</b:SourceType>
    <b:Guid>{62A55CA3-48AF-4735-B83E-CFDBC6DF9349}</b:Guid>
    <b:Title>Gutachten zur Höhe des Regelenergiebedarfs</b:Title>
    <b:Year>10.12.2008</b:Year>
    <b:Author>
      <b:Author>
        <b:NameList>
          <b:Person>
            <b:Last>Haubrich</b:Last>
            <b:First>Hans-Jürgen</b:First>
          </b:Person>
        </b:NameList>
      </b:Author>
    </b:Author>
    <b:ShortTitle>Gutachten zur Höhe des Regelenergiebedarfs</b:ShortTitle>
    <b:InternetSiteTitle>http://www.bundesnetzagentur.de/cae/servlet/contentblob/102556/publicationFile/5861/Gutachten%20zur%20H%C3%B6he%20des%20Regelenergiebedarfes.pdf</b:InternetSiteTitle>
    <b:DayAccessed>18.10.2011</b:DayAccessed>
    <b:RefOrder>236</b:RefOrder>
  </b:Source>
  <b:Source>
    <b:Tag>Hau</b:Tag>
    <b:SourceType>ArticleInAPeriodical</b:SourceType>
    <b:Guid>{B03BBF85-DE9A-40FF-A401-54EC25BC8E94}</b:Guid>
    <b:Title>Emissionsfreies Schnellladen von Elektrofahrzeugen</b:Title>
    <b:Author>
      <b:Author>
        <b:NameList>
          <b:Person>
            <b:Last>Haubrock</b:Last>
            <b:First>André</b:First>
          </b:Person>
          <b:Person>
            <b:Last>Beck</b:Last>
            <b:First>Hans-Peter</b:First>
          </b:Person>
        </b:NameList>
      </b:Author>
    </b:Author>
    <b:PeriodicalTitle>ew</b:PeriodicalTitle>
    <b:Year>2010, Heft 22</b:Year>
    <b:Pages>34</b:Pages>
    <b:RefOrder>237</b:RefOrder>
  </b:Source>
  <b:Source>
    <b:Tag>Häs88</b:Tag>
    <b:SourceType>ArticleInAPeriodical</b:SourceType>
    <b:Guid>{2EE821A9-4BC3-440F-8AF5-B15A7A381AB8}</b:Guid>
    <b:Title>Prozeßrechtliche Rahmenbedingungen für die Entwicklung des materiellen Privatrechts - Zur Unvertauschbarkeit materieller und formeller Rechtssätze</b:Title>
    <b:Author>
      <b:Author>
        <b:NameList>
          <b:Person>
            <b:Last>Häsemeyer</b:Last>
            <b:First>Ludwig</b:First>
          </b:Person>
        </b:NameList>
      </b:Author>
    </b:Author>
    <b:PeriodicalTitle>AcP</b:PeriodicalTitle>
    <b:Year>188 (1988)</b:Year>
    <b:Pages>140</b:Pages>
    <b:RefOrder>238</b:RefOrder>
  </b:Source>
  <b:Source>
    <b:Tag>Har091</b:Tag>
    <b:SourceType>Book</b:SourceType>
    <b:Guid>{BC4D5406-DE90-4E6B-9BB4-DBECCA3BA043}</b:Guid>
    <b:Author>
      <b:Author>
        <b:NameList>
          <b:Person>
            <b:Last>Haratsch</b:Last>
            <b:First>Andreas</b:First>
          </b:Person>
          <b:Person>
            <b:Last>Koenig</b:Last>
            <b:First>Christian</b:First>
          </b:Person>
          <b:Person>
            <b:Last>Pechstein</b:Last>
            <b:First>Matthias</b:First>
          </b:Person>
        </b:NameList>
      </b:Author>
    </b:Author>
    <b:Title>Europarecht</b:Title>
    <b:Year>6. Auflage 2009</b:Year>
    <b:City>Tübingen</b:City>
    <b:ShortTitle>Europarecht</b:ShortTitle>
    <b:RefOrder>239</b:RefOrder>
  </b:Source>
  <b:Source>
    <b:Tag>Har09</b:Tag>
    <b:SourceType>BookSection</b:SourceType>
    <b:Guid>{62BC7F00-1DB6-49BA-9FDB-7D3A465B1858}</b:Guid>
    <b:Title>Gesetz gegen den unlauteren Wettbewerb (UWG) mit Preisangabenverodnung Kommentar</b:Title>
    <b:Year>2. Auflage 2009</b:Year>
    <b:City>München</b:City>
    <b:Author>
      <b:Editor>
        <b:NameList>
          <b:Person>
            <b:Last>Harte-Bavendamm</b:Last>
            <b:First>Henning</b:First>
          </b:Person>
          <b:Person>
            <b:Last>Henning-Bodewig</b:Last>
            <b:First>Frauke</b:First>
          </b:Person>
        </b:NameList>
      </b:Editor>
    </b:Author>
    <b:ShortTitle>UWG</b:ShortTitle>
    <b:RefOrder>240</b:RefOrder>
  </b:Source>
  <b:Source>
    <b:Tag>Gru09</b:Tag>
    <b:SourceType>ArticleInAPeriodical</b:SourceType>
    <b:Guid>{CCB4ECC3-2A3C-4D4C-A784-1FE178FEFDE4}</b:Guid>
    <b:Author>
      <b:Author>
        <b:NameList>
          <b:Person>
            <b:Last>Grundmann</b:Last>
            <b:First>Stefan</b:First>
          </b:Person>
        </b:NameList>
      </b:Author>
    </b:Author>
    <b:Title>Das neue Recht des Zahlungsverkehrs Teil II - Lastschrift, Kartenzahlung und Ausblick</b:Title>
    <b:PeriodicalTitle>WM</b:PeriodicalTitle>
    <b:Year>2009</b:Year>
    <b:Pages>1157</b:Pages>
    <b:RefOrder>241</b:RefOrder>
  </b:Source>
  <b:Source>
    <b:Tag>Gre11</b:Tag>
    <b:SourceType>DocumentFromInternetSite</b:SourceType>
    <b:Guid>{5C52B5F9-0DFB-4896-B909-B2212687DD73}</b:Guid>
    <b:Title>Hintergrund und experimentelle Ergebnisse zum Thema „Smart Meter und Datenschutz“ - Arbeitspapier – Technischer Report</b:Title>
    <b:Year>Status: ENTWURF, Version 0.6, 20. Sep. 2011</b:Year>
    <b:ShortTitle>Ergebnisse zum Thema „Smart Meter und Datenschutz“ - Arbeitspapier – Technischer Report</b:ShortTitle>
    <b:Author>
      <b:Author>
        <b:NameList>
          <b:Person>
            <b:Last>Greveler</b:Last>
          </b:Person>
          <b:Person>
            <b:Last>Justus</b:Last>
          </b:Person>
          <b:Person>
            <b:Last>Löhr</b:Last>
          </b:Person>
        </b:NameList>
      </b:Author>
    </b:Author>
    <b:InternetSiteTitle>http://www.its.fh-muenster.de/greveler/pubs/smartmeter_sep11_v06.pdf</b:InternetSiteTitle>
    <b:DayAccessed>25.10.2011</b:DayAccessed>
    <b:RefOrder>242</b:RefOrder>
  </b:Source>
  <b:Source>
    <b:Tag>Gra12</b:Tag>
    <b:SourceType>BookSection</b:SourceType>
    <b:Guid>{978C869E-2AA2-48EE-8554-4EBB0FD384FC}</b:Guid>
    <b:Title>Vertragsrecht und AGB-Klauselwerke</b:Title>
    <b:Year>30. Ergänzungslieferung 2012</b:Year>
    <b:City>München</b:City>
    <b:Author>
      <b:Editor>
        <b:NameList>
          <b:Person>
            <b:Last>Graf von Westphalen</b:Last>
            <b:First>Friedrich</b:First>
          </b:Person>
          <b:Person>
            <b:Last>Thüsing</b:Last>
            <b:First>Gregor</b:First>
          </b:Person>
        </b:NameList>
      </b:Editor>
    </b:Author>
    <b:ShortTitle>Vertragsrecht und AGB-Klauselwerke</b:ShortTitle>
    <b:RefOrder>243</b:RefOrder>
  </b:Source>
  <b:Source>
    <b:Tag>Gra09</b:Tag>
    <b:SourceType>BookSection</b:SourceType>
    <b:Guid>{F6AC0042-ED07-4CA5-B6C4-4E6E2649077C}</b:Guid>
    <b:Title>Das Recht der europäischen Union, Band I EUV/EGV</b:Title>
    <b:Year>Stand Oktober 2009</b:Year>
    <b:City>München</b:City>
    <b:Author>
      <b:Editor>
        <b:NameList>
          <b:Person>
            <b:Last>Grabitz</b:Last>
            <b:First>Eberhard</b:First>
          </b:Person>
          <b:Person>
            <b:Last>Hilf</b:Last>
            <b:First>Meinhard</b:First>
          </b:Person>
        </b:NameList>
      </b:Editor>
    </b:Author>
    <b:ShortTitle>Das Recht der europäischen Union, Band I EUV/EGV</b:ShortTitle>
    <b:RefOrder>244</b:RefOrder>
  </b:Source>
  <b:Source>
    <b:Tag>Göt10</b:Tag>
    <b:SourceType>BookSection</b:SourceType>
    <b:Guid>{1F82AC79-53A4-4C64-AB87-8D26E30F4A02}</b:Guid>
    <b:Title>UWG - Handkommentar</b:Title>
    <b:Year>2010</b:Year>
    <b:City>Baden-Baden</b:City>
    <b:Publisher>Nomos Verlagsgesellschaft</b:Publisher>
    <b:Author>
      <b:Editor>
        <b:NameList>
          <b:Person>
            <b:Last>Götting</b:Last>
            <b:First>Horst-Peter</b:First>
          </b:Person>
          <b:Person>
            <b:Last>Nordemann</b:Last>
            <b:First>Axel</b:First>
          </b:Person>
        </b:NameList>
      </b:Editor>
    </b:Author>
    <b:ShortTitle>UWG</b:ShortTitle>
    <b:RefOrder>245</b:RefOrder>
  </b:Source>
  <b:Source>
    <b:Tag>Goht4</b:Tag>
    <b:SourceType>ArticleInAPeriodical</b:SourceType>
    <b:Guid>{FF021EAC-8191-4FD3-A5A8-D8540DFDA63A}</b:Guid>
    <b:Author>
      <b:Author>
        <b:NameList>
          <b:Person>
            <b:Last>Gohla-Neudecker</b:Last>
            <b:First>Bodo</b:First>
          </b:Person>
          <b:Person>
            <b:Last>Roth</b:Last>
            <b:First>Hans</b:First>
          </b:Person>
          <b:Person>
            <b:Last>Wagner</b:Last>
            <b:First>Ulrich</b:First>
          </b:Person>
        </b:NameList>
      </b:Author>
    </b:Author>
    <b:Title>Nachhaltige Mobilität: Anwendungsscharfe Bereitstellung von erneuerbarer Energie für Elektroautos</b:Title>
    <b:PeriodicalTitle>ET</b:PeriodicalTitle>
    <b:Year>2010, Heft 4</b:Year>
    <b:Pages>81</b:Pages>
    <b:RefOrder>246</b:RefOrder>
  </b:Source>
  <b:Source>
    <b:Tag>Gög09</b:Tag>
    <b:SourceType>ArticleInAPeriodical</b:SourceType>
    <b:Guid>{821D5807-5FEA-4FC0-8268-B983459F2622}</b:Guid>
    <b:Author>
      <b:Author>
        <b:NameList>
          <b:Person>
            <b:Last>Göge</b:Last>
            <b:First>Marc-Stefan</b:First>
          </b:Person>
          <b:Person>
            <b:Last>Boers</b:Last>
            <b:First>Stefanie</b:First>
          </b:Person>
        </b:NameList>
      </b:Author>
    </b:Author>
    <b:Title>Gläserne Kunden durch Smart Metering? - Datenschutzrechtliche Aspekte des neuen Zähl- und Messwesens</b:Title>
    <b:PeriodicalTitle>ZNER</b:PeriodicalTitle>
    <b:Year>2009</b:Year>
    <b:Pages>368</b:Pages>
    <b:RefOrder>247</b:RefOrder>
  </b:Source>
  <b:Source>
    <b:Tag>Gle08</b:Tag>
    <b:SourceType>ArticleInAPeriodical</b:SourceType>
    <b:Guid>{A230208D-837E-49ED-B51A-37D87CDF30E0}</b:Guid>
    <b:Title>Die Marktabgrenzung in der Elektrizitätswirtschaft</b:Title>
    <b:Year>2008</b:Year>
    <b:Author>
      <b:Author>
        <b:NameList>
          <b:Person>
            <b:Last>Gleave</b:Last>
            <b:First>Sandro</b:First>
          </b:Person>
        </b:NameList>
      </b:Author>
    </b:Author>
    <b:PeriodicalTitle>ZfE</b:PeriodicalTitle>
    <b:Pages>120</b:Pages>
    <b:RefOrder>248</b:RefOrder>
  </b:Source>
  <b:Source>
    <b:Tag>Gep06</b:Tag>
    <b:SourceType>BookSection</b:SourceType>
    <b:Guid>{B0400D25-C979-44AE-A45F-DA3C52E5E760}</b:Guid>
    <b:Author>
      <b:Editor>
        <b:NameList>
          <b:Person>
            <b:Last>Geppert</b:Last>
            <b:First>Martin</b:First>
          </b:Person>
          <b:Person>
            <b:Last>Piepenbrock</b:Last>
            <b:First>Hermann-Josef</b:First>
          </b:Person>
          <b:Person>
            <b:Last>Schütz</b:Last>
            <b:First>Raimund</b:First>
          </b:Person>
          <b:Person>
            <b:Last>Schuster</b:Last>
            <b:First>Fabian</b:First>
          </b:Person>
        </b:NameList>
      </b:Editor>
    </b:Author>
    <b:Title>Beck'scher TKG-Kommentar</b:Title>
    <b:Year>2006</b:Year>
    <b:City>München</b:City>
    <b:ShortTitle>Beck'scher TKG-Kommentar</b:ShortTitle>
    <b:RefOrder>249</b:RefOrder>
  </b:Source>
  <b:Source>
    <b:Tag>Gei00</b:Tag>
    <b:SourceType>ArticleInAPeriodical</b:SourceType>
    <b:Guid>{67A080DE-C56F-447D-9C35-0DFA7F8B5CE9}</b:Guid>
    <b:Title>Die elektronische Signatur: Eine internationale Architektur der Identifizierung im E-Commerce</b:Title>
    <b:Year>2000</b:Year>
    <b:Author>
      <b:Author>
        <b:NameList>
          <b:Person>
            <b:Last>Geis</b:Last>
            <b:First>Ivo</b:First>
          </b:Person>
        </b:NameList>
      </b:Author>
    </b:Author>
    <b:PeriodicalTitle>MMR</b:PeriodicalTitle>
    <b:Pages>667</b:Pages>
    <b:RefOrder>250</b:RefOrder>
  </b:Source>
  <b:Source>
    <b:Tag>Gab07</b:Tag>
    <b:SourceType>ArticleInAPeriodical</b:SourceType>
    <b:Guid>{0BEFD28B-0409-40CD-A33C-6AF0954F6085}</b:Guid>
    <b:Title>Regulierung privater Netze? Ausgestaltung des Rechtsrahmens zu Objekt- und Arealnetzen durch Regulierungsbehörden</b:Title>
    <b:Year>2007</b:Year>
    <b:Author>
      <b:Author>
        <b:NameList>
          <b:Person>
            <b:Last>Gabler</b:Last>
            <b:First>Andreas</b:First>
          </b:Person>
        </b:NameList>
      </b:Author>
    </b:Author>
    <b:PeriodicalTitle>CuR</b:PeriodicalTitle>
    <b:Pages>128</b:Pages>
    <b:RefOrder>251</b:RefOrder>
  </b:Source>
  <b:Source>
    <b:Tag>Gab</b:Tag>
    <b:SourceType>Report</b:SourceType>
    <b:Guid>{CF771862-46EA-47FE-9AD3-259C1EFE4BCA}</b:Guid>
    <b:Title>Gabler Wirtschaftslexikon</b:Title>
    <b:Pages>online über http://wirtschaftslexikon.gabler.de/</b:Pages>
    <b:ThesisType>01.07.2010</b:ThesisType>
    <b:ShortTitle>Gabler Wirtschaftslexikon, </b:ShortTitle>
    <b:RefOrder>252</b:RefOrder>
  </b:Source>
  <b:Source>
    <b:Tag>Fra09</b:Tag>
    <b:SourceType>ArticleInAPeriodical</b:SourceType>
    <b:Guid>{3F29C43E-245D-4514-A3DF-30CC2A43D862}</b:Guid>
    <b:Author>
      <b:Author>
        <b:NameList>
          <b:Person>
            <b:Last>Franck</b:Last>
            <b:First>Jens-Uwe</b:First>
          </b:Person>
          <b:Person>
            <b:Last>Massari</b:Last>
            <b:First>Philipp</b:First>
          </b:Person>
        </b:NameList>
      </b:Author>
    </b:Author>
    <b:Title>Die Zahlungsdiensterichtlinie: Günstigere und schnellere Zahlungen durch besseres Vertragsrecht</b:Title>
    <b:PeriodicalTitle>WM</b:PeriodicalTitle>
    <b:Year>2009</b:Year>
    <b:Pages>1117</b:Pages>
    <b:RefOrder>253</b:RefOrder>
  </b:Source>
  <b:Source>
    <b:Tag>For59</b:Tag>
    <b:SourceType>Book</b:SourceType>
    <b:Guid>{744BA596-93F0-4E30-A3B2-03FA8BA90686}</b:Guid>
    <b:Title>Rechtsfragen der leistenden Verwaltung</b:Title>
    <b:Author>
      <b:Author>
        <b:NameList>
          <b:Person>
            <b:Last>Forsthoff</b:Last>
            <b:First>Ernst</b:First>
          </b:Person>
        </b:NameList>
      </b:Author>
    </b:Author>
    <b:Year>1959</b:Year>
    <b:City>Stuttgart</b:City>
    <b:ShortTitle>Rechtsfragen der leistenden Verwaltung</b:ShortTitle>
    <b:RefOrder>254</b:RefOrder>
  </b:Source>
  <b:Source>
    <b:Tag>For10</b:Tag>
    <b:SourceType>Report</b:SourceType>
    <b:Guid>{3973EB4A-7B3D-407E-AF20-D652ABDA1085}</b:Guid>
    <b:Title>Forsa Bericht: Erfolgsfaktoren von Smart Metering aus Verbrauchersicht</b:Title>
    <b:Year>Mai 2010</b:Year>
    <b:Pages>online über http://www.vzbv.de/mediapics/smart_metering_studie_05_2010.pdf</b:Pages>
    <b:ThesisType>12.04.2011</b:ThesisType>
    <b:ShortTitle>Forsa Bericht: Erfolgsfaktoren von Smart Metering aus Verbrauchersicht</b:ShortTitle>
    <b:RefOrder>255</b:RefOrder>
  </b:Source>
  <b:Source>
    <b:Tag>FNN10</b:Tag>
    <b:SourceType>DocumentFromInternetSite</b:SourceType>
    <b:Guid>{0ABF26DB-EF73-41F8-B3C4-623C5D35D0C6}</b:Guid>
    <b:Author>
      <b:Author>
        <b:Corporate>FNN</b:Corporate>
      </b:Author>
    </b:Author>
    <b:Title>Lastenheft EDL Elektronische Haushaltszähler - Funktionale Merkmal und Protokolle</b:Title>
    <b:InternetSiteTitle>online über http://www.vde.de/de/fnn/arbeitsgebiete/messwesen/documents/FNN_Lastenheft-EDL_1-0_2010-01-13.pdf</b:InternetSiteTitle>
    <b:Year>Version 1.0, 13. Januar 2010</b:Year>
    <b:DayAccessed>24.05.2011</b:DayAccessed>
    <b:ShortTitle>Lastenheft EDL</b:ShortTitle>
    <b:RefOrder>256</b:RefOrder>
  </b:Source>
  <b:Source>
    <b:Tag>FNN09</b:Tag>
    <b:SourceType>DocumentFromInternetSite</b:SourceType>
    <b:Guid>{6F7576F2-ABFF-477E-A141-9A76E1BFB4F3}</b:Guid>
    <b:Title>Lastenheft MUC Multi Utility Communication</b:Title>
    <b:Year>Version 1.0, 05. August 2009</b:Year>
    <b:ShortTitle>Lastenheft MUC</b:ShortTitle>
    <b:Author>
      <b:Author>
        <b:Corporate>FNN</b:Corporate>
      </b:Author>
    </b:Author>
    <b:InternetSiteTitle>online über http://www.vde.de/de/fnn/arbeitsgebiete/messwesen/documents/fnn_lh-muc_1-0_2009-08-05.pdf</b:InternetSiteTitle>
    <b:DayAccessed>24.05.2011</b:DayAccessed>
    <b:RefOrder>257</b:RefOrder>
  </b:Source>
  <b:Source>
    <b:Tag>Fis92</b:Tag>
    <b:SourceType>BookSection</b:SourceType>
    <b:Guid>{169CE389-9E41-412F-BD75-EADB5425C6EE}</b:Guid>
    <b:Title>Die Geschichte der Stromversorgung</b:Title>
    <b:Year>1. Auflage 1992</b:Year>
    <b:City>Frankfurt am Main</b:City>
    <b:Author>
      <b:Editor>
        <b:NameList>
          <b:Person>
            <b:Last>Fischer</b:Last>
            <b:First>Wolfram</b:First>
          </b:Person>
        </b:NameList>
      </b:Editor>
    </b:Author>
    <b:ShortTitle>Die Geschichte der Stromversorgung</b:ShortTitle>
    <b:RefOrder>258</b:RefOrder>
  </b:Source>
  <b:Source>
    <b:Tag>Fie11</b:Tag>
    <b:SourceType>ArticleInAPeriodical</b:SourceType>
    <b:Guid>{21A02ACB-3D16-4DC6-B117-A61A11BCF203}</b:Guid>
    <b:Author>
      <b:Author>
        <b:NameList>
          <b:Person>
            <b:Last>Fiedler</b:Last>
            <b:First>Arno</b:First>
          </b:Person>
          <b:Person>
            <b:Last>Thiel</b:Last>
            <b:First>Christoph</b:First>
          </b:Person>
        </b:NameList>
      </b:Author>
    </b:Author>
    <b:Title>Signaturstandardisierung: Selbstzweck oder Notwendigkeit</b:Title>
    <b:PeriodicalTitle>DuD</b:PeriodicalTitle>
    <b:Year>2011</b:Year>
    <b:Pages>36</b:Pages>
    <b:RefOrder>259</b:RefOrder>
  </b:Source>
  <b:Source>
    <b:Tag>Fez09</b:Tag>
    <b:SourceType>Book</b:SourceType>
    <b:Guid>{ECF07293-61F5-4D4F-8BEC-98A64D5CD385}</b:Guid>
    <b:Author>
      <b:Author>
        <b:NameList>
          <b:Person>
            <b:Last>Fezer</b:Last>
            <b:First>Karl-Heinz</b:First>
          </b:Person>
        </b:NameList>
      </b:Author>
    </b:Author>
    <b:Title>Markenrecht</b:Title>
    <b:Year>4. Auflage 2009</b:Year>
    <b:City>München</b:City>
    <b:ShortTitle>Markenrecht</b:ShortTitle>
    <b:RefOrder>260</b:RefOrder>
  </b:Source>
  <b:Source>
    <b:Tag>Fest5</b:Tag>
    <b:SourceType>ArticleInAPeriodical</b:SourceType>
    <b:Guid>{4CBA1FE0-1315-4653-B1A3-8C7A995D121F}</b:Guid>
    <b:Title>Energiewirtschaftliche und energiewirtschaftsrechtliche Fragen der Elektromobilität - Teil 2</b:Title>
    <b:Year>2010, Heft 5</b:Year>
    <b:Author>
      <b:Author>
        <b:NameList>
          <b:Person>
            <b:Last>Fest</b:Last>
            <b:First>Claus</b:First>
          </b:Person>
          <b:Person>
            <b:Last>Franz</b:Last>
            <b:First>Oliver</b:First>
          </b:Person>
          <b:Person>
            <b:Last>Gaul</b:Last>
            <b:First>Armin</b:First>
          </b:Person>
        </b:NameList>
      </b:Author>
    </b:Author>
    <b:PeriodicalTitle>ET</b:PeriodicalTitle>
    <b:Pages>79</b:Pages>
    <b:RefOrder>261</b:RefOrder>
  </b:Source>
  <b:Source>
    <b:Tag>Fes12</b:Tag>
    <b:SourceType>ArticleInAPeriodical</b:SourceType>
    <b:Guid>{63248AD5-43FE-4E32-90B5-A9D582CF1EA7}</b:Guid>
    <b:Title>Die künftige Messaufgabe für Elektromobilität - erste Analyse und Bewertung</b:Title>
    <b:Author>
      <b:Author>
        <b:NameList>
          <b:Person>
            <b:Last>Fest</b:Last>
            <b:First>Claus</b:First>
          </b:Person>
          <b:Person>
            <b:Last>Franz</b:Last>
            <b:First>Oliver</b:First>
          </b:Person>
          <b:Person>
            <b:Last>Gaul</b:Last>
            <b:First>Armin</b:First>
          </b:Person>
        </b:NameList>
      </b:Author>
    </b:Author>
    <b:PeriodicalTitle>ET</b:PeriodicalTitle>
    <b:Year>2011, Heft 1/2</b:Year>
    <b:Pages>90</b:Pages>
    <b:RefOrder>262</b:RefOrder>
  </b:Source>
  <b:Source>
    <b:Tag>Fes10</b:Tag>
    <b:SourceType>ArticleInAPeriodical</b:SourceType>
    <b:Guid>{348D40A8-0255-4EB3-B496-2AF881C3F770}</b:Guid>
    <b:Author>
      <b:Author>
        <b:NameList>
          <b:Person>
            <b:Last>Fest</b:Last>
            <b:First>Claus</b:First>
          </b:Person>
          <b:Person>
            <b:Last>Franz</b:Last>
            <b:First>Oliver</b:First>
          </b:Person>
          <b:Person>
            <b:Last>Haas</b:Last>
            <b:First>Gabriele</b:First>
          </b:Person>
        </b:NameList>
      </b:Author>
    </b:Author>
    <b:Title>Energiewirtschaftliche und energiewirtschaftsrechtliche Fragen der Elektromobilität - Teil 1</b:Title>
    <b:PeriodicalTitle>ET</b:PeriodicalTitle>
    <b:Year>2010</b:Year>
    <b:Pages>93</b:Pages>
    <b:RefOrder>263</b:RefOrder>
  </b:Source>
  <b:Source>
    <b:Tag>Feh10</b:Tag>
    <b:SourceType>BookSection</b:SourceType>
    <b:Guid>{A4C75538-D2D8-4183-91A4-4B37271B4048}</b:Guid>
    <b:Title>Regulierungsrecht</b:Title>
    <b:Year>2010</b:Year>
    <b:ShortTitle>Regulierungsrecht</b:ShortTitle>
    <b:City>Tübingen</b:City>
    <b:Author>
      <b:Editor>
        <b:NameList>
          <b:Person>
            <b:Last>Fehling</b:Last>
            <b:First>Michael</b:First>
          </b:Person>
          <b:Person>
            <b:Last>Ruffert</b:Last>
            <b:First>Matthias</b:First>
          </b:Person>
        </b:NameList>
      </b:Editor>
    </b:Author>
    <b:RefOrder>264</b:RefOrder>
  </b:Source>
  <b:Source>
    <b:Tag>EVD</b:Tag>
    <b:SourceType>Case</b:SourceType>
    <b:Guid>{912739EE-2271-412C-99C4-524A27746EA1}</b:Guid>
    <b:Title>E VDE-AR-N 4400 Entwurf, Stand November 2010</b:Title>
    <b:RefOrder>265</b:RefOrder>
  </b:Source>
  <b:Source>
    <b:Tag>Eur11</b:Tag>
    <b:SourceType>DocumentFromInternetSite</b:SourceType>
    <b:Guid>{522FEBE6-7506-4EFB-878B-74FED693B603}</b:Guid>
    <b:Title>Impact Assessment Study on the review of the Measuring Instruments Directive 2004/22/EC</b:Title>
    <b:Year>März 2011</b:Year>
    <b:ShortTitle>Impact Assessment Study on the review of the Measuring Instruments Directive 2004/22/EC</b:ShortTitle>
    <b:Author>
      <b:Author>
        <b:Corporate>Europäische Kommission</b:Corporate>
      </b:Author>
    </b:Author>
    <b:InternetSiteTitle>online über http://ec.europa.eu/enterprise/sectors/legal-metrology-and-prepack/measuring-instruments/public-consultation/index_en.htm</b:InternetSiteTitle>
    <b:DayAccessed>05.04.2012</b:DayAccessed>
    <b:RefOrder>266</b:RefOrder>
  </b:Source>
  <b:Source>
    <b:Tag>EUR10</b:Tag>
    <b:SourceType>DocumentFromInternetSite</b:SourceType>
    <b:Guid>{5A3D57AE-B1A7-44A4-B2C2-28197D41AE51}</b:Guid>
    <b:Author>
      <b:Author>
        <b:Corporate>EURELECTRIC</b:Corporate>
      </b:Author>
    </b:Author>
    <b:Title>Market Models for the Roll-Out of Electric Vehicle Public Charging Infrastructure</b:Title>
    <b:Year>September 2010</b:Year>
    <b:ShortTitle>Market Models for the Roll-Out of Electric Vehicle Public Charging Infrastructure</b:ShortTitle>
    <b:InternetSiteTitle>www.eurelectric.org/Download/Download.aspx?DocumentFileID=64865</b:InternetSiteTitle>
    <b:DayAccessed>15.08.2011</b:DayAccessed>
    <b:RefOrder>267</b:RefOrder>
  </b:Source>
  <b:Source>
    <b:Tag>EuG</b:Tag>
    <b:SourceType>Case</b:SourceType>
    <b:Guid>{80DDD872-296F-47F2-8A15-49347F01EBF6}</b:Guid>
    <b:Title>NvWZ 2008, 769</b:Title>
    <b:Court>EuGH</b:Court>
    <b:RefOrder>268</b:RefOrder>
  </b:Source>
  <b:Source>
    <b:Tag>Ern38</b:Tag>
    <b:SourceType>Book</b:SourceType>
    <b:Guid>{D144980D-1D98-4B7B-8A13-BC020804DE12}</b:Guid>
    <b:Author>
      <b:Author>
        <b:NameList>
          <b:Person>
            <b:Last>Ern</b:Last>
            <b:First>Karl</b:First>
            <b:Middle>Heinz</b:Middle>
          </b:Person>
        </b:NameList>
      </b:Author>
    </b:Author>
    <b:Title>Die Rechtsnatur des Elektrizitätsversorgungsvertrages</b:Title>
    <b:Year>Dissertation 1938</b:Year>
    <b:City>Köln</b:City>
    <b:ShortTitle>Die Rechtsnatur des Elektrizitätsversorgungsvertrages</b:ShortTitle>
    <b:RefOrder>269</b:RefOrder>
  </b:Source>
  <b:Source>
    <b:Tag>Erd10</b:Tag>
    <b:SourceType>Book</b:SourceType>
    <b:Guid>{BB2F7569-CC43-467D-8B25-6453A0673286}</b:Guid>
    <b:Title>Energieökonomik - Theorie und Anwendungen</b:Title>
    <b:Year>2. Auflage 2010</b:Year>
    <b:City>Berlin</b:City>
    <b:Author>
      <b:Author>
        <b:NameList>
          <b:Person>
            <b:Last>Erdmann</b:Last>
            <b:First>Georg</b:First>
          </b:Person>
          <b:Person>
            <b:Last>Zweifel</b:Last>
            <b:First>Peter</b:First>
          </b:Person>
        </b:NameList>
      </b:Author>
    </b:Author>
    <b:ShortTitle>Energieökonomik</b:ShortTitle>
    <b:RefOrder>270</b:RefOrder>
  </b:Source>
  <b:Source>
    <b:Tag>Erb11</b:Tag>
    <b:SourceType>BookSection</b:SourceType>
    <b:Guid>{A5F40340-0913-48D7-933E-8C22F74181D0}</b:Guid>
    <b:Title>Strafrechtliche Nebengesetze</b:Title>
    <b:Year>Stand 184. Ergänzungslieferung 2011</b:Year>
    <b:City>München</b:City>
    <b:Author>
      <b:Editor>
        <b:NameList>
          <b:Person>
            <b:Last>Erbs</b:Last>
            <b:First>Georg</b:First>
          </b:Person>
          <b:Person>
            <b:Last>Kohlhaas</b:Last>
            <b:First>Max</b:First>
          </b:Person>
          <b:Person>
            <b:Last>Ambs</b:Last>
            <b:First>Friedrich</b:First>
          </b:Person>
        </b:NameList>
      </b:Editor>
    </b:Author>
    <b:ShortTitle>Strafrechtliche Nebengesetze</b:ShortTitle>
    <b:RefOrder>271</b:RefOrder>
  </b:Source>
  <b:Source>
    <b:Tag>Emm06</b:Tag>
    <b:SourceType>ArticleInAPeriodical</b:SourceType>
    <b:Guid>{97A61FA4-1604-42BB-AB44-ADBB042D194F}</b:Guid>
    <b:Author>
      <b:Author>
        <b:NameList>
          <b:Person>
            <b:Last>Emmerich-Fritsche</b:Last>
            <b:First>Angelika</b:First>
          </b:Person>
        </b:NameList>
      </b:Author>
    </b:Author>
    <b:Title>Kritische Thesen zur Legaldefinition des Verwaltungsakts</b:Title>
    <b:Year>2006</b:Year>
    <b:PeriodicalTitle>NVwZ</b:PeriodicalTitle>
    <b:Pages>762</b:Pages>
    <b:RefOrder>272</b:RefOrder>
  </b:Source>
  <b:Source>
    <b:Tag>Ell10</b:Tag>
    <b:SourceType>BookSection</b:SourceType>
    <b:Guid>{3B2F20B8-277F-4BB3-B4DB-B7E4DDE3FA12}</b:Guid>
    <b:Title>Beck'scher Bilanz-Kommentar - Handels- und Steuerbilanz §§ 238 bis 339, 342 bis 342e HGB mit IFRS-Abweichungen</b:Title>
    <b:Year>7. Auflage 2010</b:Year>
    <b:ShortTitle>Beck'scher Bilanz-Kommentar</b:ShortTitle>
    <b:City>München</b:City>
    <b:Author>
      <b:Editor>
        <b:NameList>
          <b:Person>
            <b:Last>Ellrott</b:Last>
            <b:First>Helmuth</b:First>
          </b:Person>
          <b:Person>
            <b:Last>Förschle</b:Last>
            <b:First>Gerhart</b:First>
          </b:Person>
          <b:Person>
            <b:Last>Kozikowski</b:Last>
            <b:First>Michael</b:First>
          </b:Person>
          <b:Person>
            <b:Last>Winkeljohann</b:Last>
            <b:First>Norbert</b:First>
          </b:Person>
        </b:NameList>
      </b:Editor>
    </b:Author>
    <b:RefOrder>273</b:RefOrder>
  </b:Source>
  <b:Source>
    <b:Tag>ell</b:Tag>
    <b:SourceType>BookSection</b:SourceType>
    <b:Guid>{E47CF867-113F-47C8-B2EE-94A5C1A00693}</b:Guid>
    <b:Title>Kartellrecht Kommentar</b:Title>
    <b:Year>2009</b:Year>
    <b:City>München</b:City>
    <b:Author>
      <b:Editor>
        <b:NameList>
          <b:Person>
            <b:Last>Loewenheim</b:Last>
            <b:First>Ulrich</b:First>
          </b:Person>
          <b:Person>
            <b:Last>Meessen</b:Last>
            <b:First>Karl</b:First>
            <b:Middle>M.</b:Middle>
          </b:Person>
          <b:Person>
            <b:Last>Riesenkampff</b:Last>
            <b:First>Alexander</b:First>
          </b:Person>
        </b:NameList>
      </b:Editor>
    </b:Author>
    <b:ShortTitle>Kartellrecht</b:ShortTitle>
    <b:RefOrder>274</b:RefOrder>
  </b:Source>
  <b:Source>
    <b:Tag>Eck11</b:Tag>
    <b:SourceType>ArticleInAPeriodical</b:SourceType>
    <b:Guid>{8F174791-9D9E-4116-93E8-EB0447D15C51}</b:Guid>
    <b:Author>
      <b:Author>
        <b:NameList>
          <b:Person>
            <b:Last>Eckhardt</b:Last>
            <b:First>Jens</b:First>
          </b:Person>
        </b:NameList>
      </b:Author>
    </b:Author>
    <b:Title>IP-Adresse als personenbezogenes Datum - neues Öl ins Feuer</b:Title>
    <b:Year>2011</b:Year>
    <b:PeriodicalTitle>CR</b:PeriodicalTitle>
    <b:Pages>339</b:Pages>
    <b:RefOrder>275</b:RefOrder>
  </b:Source>
  <b:Source>
    <b:Tag>Dud10</b:Tag>
    <b:SourceType>ArticleInAPeriodical</b:SourceType>
    <b:Guid>{236FFB1F-9A97-4DE3-AB7A-7E96BB633CFA}</b:Guid>
    <b:Title>Die Bedeutung der Elektromobilität für den Standort Deutschland und Defizite in der Förderung</b:Title>
    <b:Author>
      <b:Author>
        <b:NameList>
          <b:Person>
            <b:Last>Dudenhöffer</b:Last>
            <b:First>Ferdinand</b:First>
          </b:Person>
        </b:NameList>
      </b:Author>
    </b:Author>
    <b:PeriodicalTitle>ZfU</b:PeriodicalTitle>
    <b:Year>2010</b:Year>
    <b:Pages>243</b:Pages>
    <b:RefOrder>276</b:RefOrder>
  </b:Source>
  <b:Source>
    <b:Tag>Dre08</b:Tag>
    <b:SourceType>BookSection</b:SourceType>
    <b:Guid>{6632370D-C8CD-4CE1-9D14-EB0DF8C3B660}</b:Guid>
    <b:Author>
      <b:Editor>
        <b:NameList>
          <b:Person>
            <b:Last>Dreier</b:Last>
            <b:First>Thomas</b:First>
          </b:Person>
          <b:Person>
            <b:Last>Schulze</b:Last>
            <b:First>Gernot</b:First>
          </b:Person>
        </b:NameList>
      </b:Editor>
    </b:Author>
    <b:Title>Urheberrechtsgesetz Kommentar</b:Title>
    <b:Year>3. Auflage 2008</b:Year>
    <b:City>München</b:City>
    <b:ShortTitle>Urheberrechtsgesetz</b:ShortTitle>
    <b:RefOrder>277</b:RefOrder>
  </b:Source>
  <b:Source>
    <b:Tag>Dot10</b:Tag>
    <b:SourceType>Book</b:SourceType>
    <b:Guid>{5D94093E-882A-4BEB-B1CF-A83164FA0B07}</b:Guid>
    <b:Author>
      <b:Author>
        <b:NameList>
          <b:Person>
            <b:Last>Dotzler</b:Last>
            <b:First>Florian</b:First>
          </b:Person>
        </b:NameList>
      </b:Author>
    </b:Author>
    <b:Title>Datenschutzrechtliche Aspekte und der Einsatz biometrischer Systeme in Unternehmen: Eine exemplarische Betrachtung von Systemen auf der Grundlage des biometrischen Merkmals Tippverhalten</b:Title>
    <b:Year>2010</b:Year>
    <b:City>Köln</b:City>
    <b:ShortTitle>Datenschutzrechtliche Aspekte und der Einsatz biometrischer Systeme in Unternehmen</b:ShortTitle>
    <b:RefOrder>278</b:RefOrder>
  </b:Source>
  <b:Source>
    <b:Tag>Dör11</b:Tag>
    <b:SourceType>DocumentFromInternetSite</b:SourceType>
    <b:Guid>{073F5A1B-1B53-4D0B-9BE8-3B8E81B8B9B4}</b:Guid>
    <b:Title>Zukunftsperspektiven der Elektromobilität – Treibende Faktoren und Hemmnisse in ökonomischer Sicht, sofia-Diskussionsbeiträge 11-7, Darmstadt</b:Title>
    <b:Author>
      <b:Author>
        <b:NameList>
          <b:Person>
            <b:Last>Döring</b:Last>
            <b:First>Thomas</b:First>
          </b:Person>
          <b:Person>
            <b:Last>Aigner-Walder</b:Last>
            <b:First>Birgit</b:First>
          </b:Person>
        </b:NameList>
      </b:Author>
    </b:Author>
    <b:InternetSiteTitle>online über http://www.sofia-darmstadt.de/fileadmin/Dokumente/Diskussion/2011/Netzversion_Elektromobilitaet.pdf</b:InternetSiteTitle>
    <b:Year>2011</b:Year>
    <b:DayAccessed>13.12.2011</b:DayAccessed>
    <b:ShortTitle>Zukunftsperspektiven der Elektromobilität</b:ShortTitle>
    <b:RefOrder>279</b:RefOrder>
  </b:Source>
  <b:Source>
    <b:Tag>Dom11</b:Tag>
    <b:SourceType>ArticleInAPeriodical</b:SourceType>
    <b:Guid>{FE8F39DB-76D5-4947-A862-C174EB2AD963}</b:Guid>
    <b:Author>
      <b:Author>
        <b:NameList>
          <b:Person>
            <b:Last>Domschke</b:Last>
            <b:First>Werner</b:First>
          </b:Person>
        </b:NameList>
      </b:Author>
    </b:Author>
    <b:Title>Realisierung der gesetzlichen Vorgaben für "Smart Gas Meter" (Energiewirtschaftsgesetz §§ 21b und 40)</b:Title>
    <b:PeriodicalTitle>gwf-Gas/Erdgas</b:PeriodicalTitle>
    <b:Year>Januar/Februar 2011</b:Year>
    <b:Pages>48</b:Pages>
    <b:RefOrder>280</b:RefOrder>
  </b:Source>
  <b:Source>
    <b:Tag>Dit09</b:Tag>
    <b:SourceType>ArticleInAPeriodical</b:SourceType>
    <b:Guid>{66E3400D-4F65-4C3C-BC6F-6EEC14A2E6B6}</b:Guid>
    <b:Author>
      <b:Author>
        <b:NameList>
          <b:Person>
            <b:Last>Ditscheid</b:Last>
            <b:First>Alexander</b:First>
          </b:Person>
          <b:Person>
            <b:Last>Ufer</b:Last>
            <b:First>Frederic</b:First>
          </b:Person>
        </b:NameList>
      </b:Author>
    </b:Author>
    <b:Title>Die Novellierung des TKG 2009 - ein erster Überblick</b:Title>
    <b:PeriodicalTitle>MMR</b:PeriodicalTitle>
    <b:Year>2009</b:Year>
    <b:Pages>367</b:Pages>
    <b:RefOrder>281</b:RefOrder>
  </b:Source>
  <b:Source>
    <b:Tag>Dir10</b:Tag>
    <b:SourceType>ArticleInAPeriodical</b:SourceType>
    <b:Guid>{8042CB7E-03C5-45EC-B39D-C7C8C8B71D9C}</b:Guid>
    <b:Author>
      <b:Author>
        <b:NameList>
          <b:Person>
            <b:Last>Dirks</b:Last>
            <b:First>Holger</b:First>
          </b:Person>
        </b:NameList>
      </b:Author>
    </b:Author>
    <b:Title>Garage geht vor Ladesäule</b:Title>
    <b:PeriodicalTitle>energiespektrum</b:PeriodicalTitle>
    <b:Year>2-3/2010</b:Year>
    <b:Pages>34</b:Pages>
    <b:RefOrder>282</b:RefOrder>
  </b:Source>
  <b:Source>
    <b:Tag>DIN12</b:Tag>
    <b:SourceType>DocumentFromInternetSite</b:SourceType>
    <b:Guid>{5D8A4781-5C28-4283-AC4D-2E24B7BA556B}</b:Guid>
    <b:Title>Elektromobilität – Normen bringen die Zukunft in Fahrt</b:Title>
    <b:Year>Januar 2012</b:Year>
    <b:Author>
      <b:Author>
        <b:Corporate>DIN</b:Corporate>
      </b:Author>
    </b:Author>
    <b:ShortTitle>Elektromobilität – Normen bringen die Zukunft in Fahrt</b:ShortTitle>
    <b:Pages>online über http://www.pwc.de/de/offentliche-unternehmen/elektromobilitaet-braucht-normen.jhtml</b:Pages>
    <b:ThesisType>08.02.2012</b:ThesisType>
    <b:InternetSiteTitle>online über http://www.pwc.de/de/offentliche-unternehmen/elektromobilitaet-braucht-normen.jhtml</b:InternetSiteTitle>
    <b:DayAccessed>10.04.2012</b:DayAccessed>
    <b:RefOrder>283</b:RefOrder>
  </b:Source>
  <b:Source>
    <b:Tag>DIN1</b:Tag>
    <b:SourceType>Case</b:SourceType>
    <b:Guid>{07C38909-1526-4570-9828-8AF2EDB5C093}</b:Guid>
    <b:Title>DIN SPEC 91286</b:Title>
    <b:RefOrder>284</b:RefOrder>
  </b:Source>
  <b:Source>
    <b:Tag>DIN</b:Tag>
    <b:SourceType>Case</b:SourceType>
    <b:Guid>{FDD89DB0-BE30-40F0-B5DF-26F69C0F5327}</b:Guid>
    <b:Title>DIN EN ISO-3166-1</b:Title>
    <b:RefOrder>285</b:RefOrder>
  </b:Source>
  <b:Source>
    <b:Tag>Die68</b:Tag>
    <b:SourceType>ArticleInAPeriodical</b:SourceType>
    <b:Guid>{A4E6049B-33B4-4D0A-ACE0-1C8A1966B79A}</b:Guid>
    <b:Author>
      <b:Author>
        <b:NameList>
          <b:Person>
            <b:Last>Diederichsen</b:Last>
            <b:First>Uwe</b:First>
          </b:Person>
        </b:NameList>
      </b:Author>
    </b:Author>
    <b:Title>Fortschritte im dogmatischen Verständnis des Anscheinsbeweises</b:Title>
    <b:PeriodicalTitle>ZZP</b:PeriodicalTitle>
    <b:Year>81 (1968)</b:Year>
    <b:Pages>45</b:Pages>
    <b:RefOrder>286</b:RefOrder>
  </b:Source>
  <b:Source>
    <b:Tag>deW06</b:Tag>
    <b:SourceType>ArticleInAPeriodical</b:SourceType>
    <b:Guid>{CCE1D0AB-93F1-45EF-83F3-59740DEB2A9D}</b:Guid>
    <b:Author>
      <b:Author>
        <b:NameList>
          <b:Person>
            <b:Last>de Wyl</b:Last>
            <b:First>Christian</b:First>
          </b:Person>
          <b:Person>
            <b:Last>Becker</b:Last>
            <b:First>Sebastian</b:First>
          </b:Person>
        </b:NameList>
      </b:Author>
    </b:Author>
    <b:Title>Die Objektnetzausnahme des § 110 EnWG</b:Title>
    <b:PeriodicalTitle>ZNER</b:PeriodicalTitle>
    <b:Year>2006</b:Year>
    <b:Pages>101</b:Pages>
    <b:RefOrder>287</b:RefOrder>
  </b:Source>
  <b:Source>
    <b:Tag>Dan091</b:Tag>
    <b:SourceType>BookSection</b:SourceType>
    <b:Guid>{0BAEFC8A-A893-4309-9B1C-2CE0ED53B96F}</b:Guid>
    <b:Title>Energierecht</b:Title>
    <b:Year>63. Ergänzungslieferung 2009</b:Year>
    <b:City>München</b:City>
    <b:Publisher>C.H. Beck</b:Publisher>
    <b:Author>
      <b:Editor>
        <b:NameList>
          <b:Person>
            <b:Last>Danner</b:Last>
            <b:First>Wolfgang</b:First>
          </b:Person>
          <b:Person>
            <b:Last>Theobald</b:Last>
            <b:First>Christian</b:First>
          </b:Person>
        </b:NameList>
      </b:Editor>
    </b:Author>
    <b:ShortTitle>Energierecht</b:ShortTitle>
    <b:RefOrder>288</b:RefOrder>
  </b:Source>
  <b:Source>
    <b:Tag>Cas09</b:Tag>
    <b:SourceType>ArticleInAPeriodical</b:SourceType>
    <b:Guid>{9D31F522-BDDC-474B-83C6-CF5550BBB0C0}</b:Guid>
    <b:Author>
      <b:Author>
        <b:NameList>
          <b:Person>
            <b:Last>Casper</b:Last>
            <b:First>Matthias</b:First>
          </b:Person>
          <b:Person>
            <b:Last>Pfeifle</b:Last>
            <b:First>Theresa</b:First>
          </b:Person>
        </b:NameList>
      </b:Author>
    </b:Author>
    <b:Title>Missbrauch der Kreditkarte im Präsenz- und Mail-OrderVerfahren nach neuem Recht</b:Title>
    <b:PeriodicalTitle>WM</b:PeriodicalTitle>
    <b:Year>2009</b:Year>
    <b:Pages>2343</b:Pages>
    <b:RefOrder>289</b:RefOrder>
  </b:Source>
  <b:Source>
    <b:Tag>Byd82</b:Tag>
    <b:SourceType>Book</b:SourceType>
    <b:Guid>{E043D025-FBF3-49F7-B298-74A6E3AD232E}</b:Guid>
    <b:Author>
      <b:Author>
        <b:NameList>
          <b:Person>
            <b:Last>Bydlinski</b:Last>
            <b:First>Franz</b:First>
          </b:Person>
        </b:NameList>
      </b:Author>
    </b:Author>
    <b:Title>Juristische Methodenlehre und Rechtsbegriff</b:Title>
    <b:Year>1982</b:Year>
    <b:City>Wien</b:City>
    <b:ShortTitle>Juristische Methodenlehre und Rechtsbegriff</b:ShortTitle>
    <b:RefOrder>290</b:RefOrder>
  </b:Source>
  <b:Source>
    <b:Tag>BVe</b:Tag>
    <b:SourceType>Case</b:SourceType>
    <b:Guid>{6B8AAA4B-9B4B-49BC-9C34-0B6640BFBB6C}</b:Guid>
    <b:Title>BVerfG NJW 1959, 475</b:Title>
    <b:RefOrder>291</b:RefOrder>
  </b:Source>
  <b:Source>
    <b:Tag>Bur10</b:Tag>
    <b:SourceType>BookSection</b:SourceType>
    <b:Guid>{A593BD69-2850-41E4-82E2-649BEBAB1B5E}</b:Guid>
    <b:Title>Straßenverkehrsrecht</b:Title>
    <b:Year>21. Auflage 2010</b:Year>
    <b:City>München</b:City>
    <b:Author>
      <b:Editor>
        <b:NameList>
          <b:Person>
            <b:Last>Burmann</b:Last>
            <b:First>Michael</b:First>
          </b:Person>
          <b:Person>
            <b:Last>Heß</b:Last>
            <b:First>Rainer</b:First>
          </b:Person>
          <b:Person>
            <b:Last>Jahnke</b:Last>
            <b:First>Jürgen</b:First>
          </b:Person>
          <b:Person>
            <b:Last>Janker</b:Last>
            <b:First>Helmut</b:First>
          </b:Person>
        </b:NameList>
      </b:Editor>
    </b:Author>
    <b:ShortTitle>Straßenverkehrsrecht</b:ShortTitle>
    <b:RefOrder>292</b:RefOrder>
  </b:Source>
  <b:Source>
    <b:Tag>Bur061</b:Tag>
    <b:SourceType>ArticleInAPeriodical</b:SourceType>
    <b:Guid>{C6037A5D-A48C-4A1F-927E-C5539C1C9032}</b:Guid>
    <b:Author>
      <b:Author>
        <b:NameList>
          <b:Person>
            <b:Last>Burgi</b:Last>
            <b:First>Martin</b:First>
          </b:Person>
        </b:NameList>
      </b:Author>
    </b:Author>
    <b:Title>Das subjektive Recht im Energie-Regulierungsverwaltungsrecht</b:Title>
    <b:PeriodicalTitle>DVBl</b:PeriodicalTitle>
    <b:Year>2006</b:Year>
    <b:Pages>269</b:Pages>
    <b:RefOrder>293</b:RefOrder>
  </b:Source>
  <b:Source>
    <b:Tag>Bur06</b:Tag>
    <b:SourceType>ArticleInAPeriodical</b:SourceType>
    <b:Guid>{CE3F66E1-9422-4E88-963A-B1AC37671824}</b:Guid>
    <b:Author>
      <b:Author>
        <b:NameList>
          <b:Person>
            <b:Last>Burgard</b:Last>
            <b:First>Ulrich</b:First>
          </b:Person>
        </b:NameList>
      </b:Author>
    </b:Author>
    <b:Title>Der Vorschlag der Kommission für eine Richtlinie über Zahlungsdienste im Binnenmarkt</b:Title>
    <b:PeriodicalTitle>WM</b:PeriodicalTitle>
    <b:Year>2006</b:Year>
    <b:Pages>2065</b:Pages>
    <b:RefOrder>294</b:RefOrder>
  </b:Source>
  <b:Source>
    <b:Tag>Bun11</b:Tag>
    <b:SourceType>Report</b:SourceType>
    <b:Guid>{EBD5C36E-B15D-4037-AA76-1AE5FF664DA9}</b:Guid>
    <b:Title>Bundesministerium für Umwelt, Naturschutz und Reaktorsicherheit, Erfahrungsbericht 2011 zum Erneuerbare-Energien-Gesetz (EEG-Erfahrungsbericht) - Entwurf -</b:Title>
    <b:Year>Stand 03.05.2011</b:Year>
    <b:Pages>online über http://www.bmu.de/files/pdfs/allgemein/application/pdf/eeg_erfahrungsbericht_2011_entwurf.pdf</b:Pages>
    <b:ThesisType>07.02.2012</b:ThesisType>
    <b:ShortTitle>BMU, Erfahrungsbericht 2011 zum EEG - Entwurf -</b:ShortTitle>
    <b:RefOrder>295</b:RefOrder>
  </b:Source>
  <b:Source>
    <b:Tag>Bun10</b:Tag>
    <b:SourceType>Report</b:SourceType>
    <b:Guid>{A868961B-C994-45A4-8525-F0489EF3E2B8}</b:Guid>
    <b:Title>Bundesumweltamt Sachstandsbericht: CO2-Emissionsminderung im Verkehr in Deutschland - Mögliche Maßnahmen und ihre Minderungspotentiale</b:Title>
    <b:Year>Mai 2010</b:Year>
    <b:Pages>online über http://www.umweltbundesamt.de/uba-info-medien/mysql_medien.php?anfrage=Kennummer&amp;Suchwort=3773</b:Pages>
    <b:ThesisType>04.11.2010</b:ThesisType>
    <b:ShortTitle>Bundesumweltamt:  CO2-Emissionsminderung im Verkehr in Deutschland</b:ShortTitle>
    <b:RefOrder>296</b:RefOrder>
  </b:Source>
  <b:Source>
    <b:Tag>Bun1</b:Tag>
    <b:SourceType>Report</b:SourceType>
    <b:Guid>{78BF61F2-BF8F-449C-9B2D-6EC83F45921D}</b:Guid>
    <b:Title>Bundesministerium für Wirtschaft und Technologie: Eckpunkte zur EnWG-Novelle 2011  </b:Title>
    <b:Year>Stand 27.10.2010</b:Year>
    <b:Pages>online über http://www.bmwi.de/BMWi/Redaktion/PDF/E/eckpunkte-enwg-novelle,property=pdf,bereich=bmwi,sprache=de,rwb=true.pdf</b:Pages>
    <b:ThesisType>09.03.2011</b:ThesisType>
    <b:ShortTitle>Bundesministerium für Wirtschaft und Technologie: Eckpunkte zur EnWG-Novelle 2011  </b:ShortTitle>
    <b:RefOrder>297</b:RefOrder>
  </b:Source>
  <b:Source>
    <b:Tag>Bun09</b:Tag>
    <b:SourceType>Book</b:SourceType>
    <b:Guid>{C6524048-04DD-4DD6-B1CA-77CCFCB19E13}</b:Guid>
    <b:Author>
      <b:Author>
        <b:NameList>
          <b:Person>
            <b:Last>Bunte</b:Last>
            <b:First>Hermann-Josef</b:First>
          </b:Person>
        </b:NameList>
      </b:Author>
    </b:Author>
    <b:Title>AGB-Banken und Sonderbedingungen</b:Title>
    <b:Year>2. Auflage 2009</b:Year>
    <b:City>München</b:City>
    <b:Publisher>C.H. Beck</b:Publisher>
    <b:ShortTitle>AGB-Banken</b:ShortTitle>
    <b:RefOrder>298</b:RefOrder>
  </b:Source>
  <b:Source>
    <b:Tag>Bub11</b:Tag>
    <b:SourceType>BookSection</b:SourceType>
    <b:Guid>{38FC1775-C93D-485E-A911-D2018F8D38EC}</b:Guid>
    <b:Title>IT-Sicherheit zwischen Regulierung und Innovation - Tagungsband zur zweiten EICT-Konferenz IT-Sicherheit</b:Title>
    <b:Year>1. Auflage 2011</b:Year>
    <b:ShortTitle>IT-Sicherheit zwischen Regulierung und Innovation</b:ShortTitle>
    <b:City>Wiesbaden</b:City>
    <b:Author>
      <b:Editor>
        <b:NameList>
          <b:Person>
            <b:Last>Bub</b:Last>
            <b:First>Udo</b:First>
          </b:Person>
          <b:Person>
            <b:Last>Wolfenstetter</b:Last>
            <b:First>Klaus-Dieter</b:First>
          </b:Person>
        </b:NameList>
      </b:Editor>
    </b:Author>
    <b:RefOrder>1</b:RefOrder>
  </b:Source>
  <b:Source>
    <b:Tag>BTD9</b:Tag>
    <b:SourceType>Case</b:SourceType>
    <b:Guid>{510BE103-065E-4AB5-8A72-C4E71741BFE4}</b:Guid>
    <b:Title>BT-Drucks. 16/5048</b:Title>
    <b:RefOrder>299</b:RefOrder>
  </b:Source>
  <b:Source>
    <b:Tag>BTD8</b:Tag>
    <b:SourceType>Case</b:SourceType>
    <b:Guid>{9877AB8B-222F-4440-BCE3-25F802E89CA5}</b:Guid>
    <b:Title>BT-Drucks. 17/6072</b:Title>
    <b:RefOrder>300</b:RefOrder>
  </b:Source>
  <b:Source>
    <b:Tag>BTD7</b:Tag>
    <b:SourceType>Case</b:SourceType>
    <b:Guid>{0B14B1B1-A848-4E16-83C2-F4A12B5B7FC2}</b:Guid>
    <b:Title>BT-Drucks. 15/2316</b:Title>
    <b:RefOrder>301</b:RefOrder>
  </b:Source>
  <b:Source>
    <b:Tag>BTD6</b:Tag>
    <b:SourceType>Case</b:SourceType>
    <b:Guid>{5C8F0B16-7D78-49B3-AB09-0AB922547AEB}</b:Guid>
    <b:Title>BT-Drucks. 17/3284</b:Title>
    <b:RefOrder>302</b:RefOrder>
  </b:Source>
  <b:Source>
    <b:Tag>BTD5</b:Tag>
    <b:SourceType>Case</b:SourceType>
    <b:Guid>{A88AE884-9FEE-44E0-87A1-DC68EDCC20A8}</b:Guid>
    <b:Title>BT-Drucks. 13/7274</b:Title>
    <b:RefOrder>303</b:RefOrder>
  </b:Source>
  <b:Source>
    <b:Tag>BTD4</b:Tag>
    <b:SourceType>Case</b:SourceType>
    <b:Guid>{A9F6AF1C-AF17-420A-8047-B8BFA356410B}</b:Guid>
    <b:Title>BT-Drucks. 15/5269</b:Title>
    <b:RefOrder>304</b:RefOrder>
  </b:Source>
  <b:Source>
    <b:Tag>BTD3</b:Tag>
    <b:SourceType>Case</b:SourceType>
    <b:Guid>{391C20C5-FF79-4000-BB52-F3D0C51A60B5}</b:Guid>
    <b:Title>BT-Drucks. 15/3917</b:Title>
    <b:RefOrder>305</b:RefOrder>
  </b:Source>
  <b:Source>
    <b:Tag>BTD2</b:Tag>
    <b:SourceType>Case</b:SourceType>
    <b:Guid>{8E7F82F8-E877-4B59-BCCC-387EE621AD4F}</b:Guid>
    <b:Title>BT-Drucks. 15/5268</b:Title>
    <b:RefOrder>306</b:RefOrder>
  </b:Source>
  <b:Source>
    <b:Tag>BTD14</b:Tag>
    <b:SourceType>Case</b:SourceType>
    <b:Guid>{68687CFD-4D2D-4970-B2B3-49F2FEFF916D}</b:Guid>
    <b:Title>BT-Drucks. 16/11643</b:Title>
    <b:RefOrder>307</b:RefOrder>
  </b:Source>
  <b:Source>
    <b:Tag>BTD13</b:Tag>
    <b:SourceType>Case</b:SourceType>
    <b:Guid>{8D77935F-695A-48C4-A876-E3ACF121025B}</b:Guid>
    <b:Title>BT-Drucks. 15/5736 [neu]</b:Title>
    <b:RefOrder>308</b:RefOrder>
  </b:Source>
  <b:Source>
    <b:Tag>BTD12</b:Tag>
    <b:SourceType>Case</b:SourceType>
    <b:Guid>{2803DBD2-5437-483D-BA1B-12148D1FB424}</b:Guid>
    <b:Title>BT-Drucks. 16/8148</b:Title>
    <b:RefOrder>309</b:RefOrder>
  </b:Source>
  <b:Source>
    <b:Tag>BTD11</b:Tag>
    <b:SourceType>Case</b:SourceType>
    <b:Guid>{A2C60662-2EE9-43CD-B5C6-9859EDDB61C9}</b:Guid>
    <b:Title>BT-Drucks. 17/6365</b:Title>
    <b:RefOrder>310</b:RefOrder>
  </b:Source>
  <b:Source>
    <b:Tag>BTD10</b:Tag>
    <b:SourceType>Case</b:SourceType>
    <b:Guid>{AC7A9D6A-3FBF-4187-99E2-67354FA8CA31}</b:Guid>
    <b:Title>BT-Drucks. 16/8306</b:Title>
    <b:RefOrder>311</b:RefOrder>
  </b:Source>
  <b:Source>
    <b:Tag>BTD1</b:Tag>
    <b:SourceType>Case</b:SourceType>
    <b:Guid>{38B4D910-ECED-4F29-B327-4D03B5F8F312}</b:Guid>
    <b:Title>BT-Drucks. 15/1487</b:Title>
    <b:RefOrder>312</b:RefOrder>
  </b:Source>
  <b:Source>
    <b:Tag>BTD</b:Tag>
    <b:SourceType>Case</b:SourceType>
    <b:Guid>{1B95326F-FF55-4712-B88E-EF3A7CFADA70}</b:Guid>
    <b:Title>BT-Drucks. 14/1191</b:Title>
    <b:RefOrder>313</b:RefOrder>
  </b:Source>
  <b:Source>
    <b:Tag>Bri08</b:Tag>
    <b:SourceType>BookSection</b:SourceType>
    <b:Guid>{ABCB526D-96F8-4557-8E7C-F23ABCFF4F52}</b:Guid>
    <b:Title>EnWG Energiewirtschaftsgesetz Kommentar</b:Title>
    <b:Year>2. Auflage 2010</b:Year>
    <b:City>München</b:City>
    <b:Publisher>C.H. Beck</b:Publisher>
    <b:Author>
      <b:Editor>
        <b:NameList>
          <b:Person>
            <b:Last>Britz</b:Last>
            <b:First>Gabriele</b:First>
          </b:Person>
          <b:Person>
            <b:Last>Hellermann</b:Last>
            <b:First>Johannes</b:First>
          </b:Person>
          <b:Person>
            <b:Last>Hermes</b:Last>
            <b:First>Georg</b:First>
          </b:Person>
        </b:NameList>
      </b:Editor>
    </b:Author>
    <b:ShortTitle>EnWG</b:ShortTitle>
    <b:RefOrder>314</b:RefOrder>
  </b:Source>
  <b:Source>
    <b:Tag>Bri061</b:Tag>
    <b:SourceType>ArticleInAPeriodical</b:SourceType>
    <b:Guid>{7B6E14D6-DC9B-4414-8A01-81683B36E9EB}</b:Guid>
    <b:Author>
      <b:Author>
        <b:NameList>
          <b:Person>
            <b:Last>Britz</b:Last>
            <b:First>Gabriele</b:First>
          </b:Person>
        </b:NameList>
      </b:Author>
    </b:Author>
    <b:Title>"Selbstregulative Zusammenarbeit" und "moderierende Regulierung" im EnWG Energienetz</b:Title>
    <b:PeriodicalTitle>ZNER</b:PeriodicalTitle>
    <b:Year>2006</b:Year>
    <b:Pages>91</b:Pages>
    <b:RefOrder>315</b:RefOrder>
  </b:Source>
  <b:Source>
    <b:Tag>Bri06</b:Tag>
    <b:SourceType>ArticleInAPeriodical</b:SourceType>
    <b:Guid>{40E24DC3-6153-4FF4-AECC-CD3249BD4E15}</b:Guid>
    <b:Author>
      <b:Author>
        <b:NameList>
          <b:Person>
            <b:Last>Britz</b:Last>
            <b:First>Gabriele</b:First>
          </b:Person>
        </b:NameList>
      </b:Author>
    </b:Author>
    <b:Title>Behördliche Befugnisse und Handlungsformen für die Netzentgeltregulierung nach neuem EnWG</b:Title>
    <b:Year>2006</b:Year>
    <b:PeriodicalTitle>RdE</b:PeriodicalTitle>
    <b:Pages>1</b:Pages>
    <b:RefOrder>316</b:RefOrder>
  </b:Source>
  <b:Source>
    <b:Tag>Bri04</b:Tag>
    <b:SourceType>ArticleInAPeriodical</b:SourceType>
    <b:Guid>{C327F1BE-E8D0-42BE-829B-C13A75AC3560}</b:Guid>
    <b:Author>
      <b:Author>
        <b:NameList>
          <b:Person>
            <b:Last>Britz</b:Last>
            <b:First>Gabriele</b:First>
          </b:Person>
        </b:NameList>
      </b:Author>
    </b:Author>
    <b:Title>Erweiterung des Instrumentariums administrativer Normsetzung zur Realisierung gemeinschaftsrechtlicher Regulierungsaufträge</b:Title>
    <b:PeriodicalTitle>EuZW</b:PeriodicalTitle>
    <b:Year>2004</b:Year>
    <b:Pages>462</b:Pages>
    <b:RefOrder>317</b:RefOrder>
  </b:Source>
  <b:Source>
    <b:Tag>BRD9</b:Tag>
    <b:SourceType>Case</b:SourceType>
    <b:Guid>{5CF953DF-7159-4A27-B3F0-02FD877956F8}</b:Guid>
    <b:Title>BR-Drucks. 848/08</b:Title>
    <b:RefOrder>318</b:RefOrder>
  </b:Source>
  <b:Source>
    <b:Tag>BRD8</b:Tag>
    <b:SourceType>Case</b:SourceType>
    <b:Guid>{131F6AE6-14E8-4EBF-ABCD-ACE10FF3EFB9}</b:Guid>
    <b:Title>BR-Drucks. 551/97</b:Title>
    <b:RefOrder>319</b:RefOrder>
  </b:Source>
  <b:Source>
    <b:Tag>BRD7</b:Tag>
    <b:SourceType>Case</b:SourceType>
    <b:Guid>{4126481C-0D95-4D87-8AD7-9D74BB0C2A0A}</b:Guid>
    <b:Title>BR-Drucks. 14/08</b:Title>
    <b:RefOrder>320</b:RefOrder>
  </b:Source>
  <b:Source>
    <b:Tag>BRD6</b:Tag>
    <b:SourceType>Case</b:SourceType>
    <b:Guid>{1B76B2D2-1BA0-4F10-9A26-BD4D3197E7CF}</b:Guid>
    <b:Title>BR-Drucks. 14/08 (B)</b:Title>
    <b:RefOrder>321</b:RefOrder>
  </b:Source>
  <b:Source>
    <b:Tag>BRD5</b:Tag>
    <b:SourceType>Case</b:SourceType>
    <b:Guid>{239A1F65-2DB6-4DF6-9F71-0C0395405B76}</b:Guid>
    <b:Title>BR-Drucks. 568/08</b:Title>
    <b:RefOrder>322</b:RefOrder>
  </b:Source>
  <b:Source>
    <b:Tag>BRD4</b:Tag>
    <b:SourceType>Case</b:SourceType>
    <b:Guid>{8881493E-6AB0-4EC2-A11E-57731DFF8EE7}</b:Guid>
    <b:Title>BR-Drucks. 343/11</b:Title>
    <b:RefOrder>323</b:RefOrder>
  </b:Source>
  <b:Source>
    <b:Tag>BRD3</b:Tag>
    <b:SourceType>Case</b:SourceType>
    <b:Guid>{37FC887D-339E-4D08-A172-29A6F119BBF9}</b:Guid>
    <b:Title>BR-Drucks. 244/05</b:Title>
    <b:RefOrder>324</b:RefOrder>
  </b:Source>
  <b:Source>
    <b:Tag>BRD2</b:Tag>
    <b:SourceType>Case</b:SourceType>
    <b:Guid>{3BAA883B-DED8-46FA-926F-97445A2B88B5}</b:Guid>
    <b:Title>BR-Drucks. 367/06</b:Title>
    <b:RefOrder>325</b:RefOrder>
  </b:Source>
  <b:Source>
    <b:Tag>BRD10</b:Tag>
    <b:SourceType>Case</b:SourceType>
    <b:Guid>{11237F3F-B036-48BB-8C3B-EBB3AD3C5997}</b:Guid>
    <b:Title>BR-Drucks. 806/96</b:Title>
    <b:RefOrder>326</b:RefOrder>
  </b:Source>
  <b:Source>
    <b:Tag>BRD1</b:Tag>
    <b:SourceType>Case</b:SourceType>
    <b:Guid>{77117B8C-222C-4D5B-A76A-90A2DEA32CF1}</b:Guid>
    <b:Title>BR-Drucks. 15/04</b:Title>
    <b:RefOrder>327</b:RefOrder>
  </b:Source>
  <b:Source>
    <b:Tag>BRD</b:Tag>
    <b:SourceType>Case</b:SourceType>
    <b:Guid>{F7DEFDA1-10C1-4E01-BF5A-3717C348FD74}</b:Guid>
    <b:Title>BR-Drucks. 613/04</b:Title>
    <b:RefOrder>328</b:RefOrder>
  </b:Source>
  <b:Source>
    <b:Tag>Bot99</b:Tag>
    <b:SourceType>ArticleInAPeriodical</b:SourceType>
    <b:Guid>{B4FCA47C-1C6C-4531-A505-1DCB05ED9F69}</b:Guid>
    <b:Author>
      <b:Author>
        <b:NameList>
          <b:Person>
            <b:Last>Both</b:Last>
            <b:First>Dirk</b:First>
          </b:Person>
        </b:NameList>
      </b:Author>
    </b:Author>
    <b:Title>Mietverhältnisse und Stromlieferung</b:Title>
    <b:PeriodicalTitle>DWW</b:PeriodicalTitle>
    <b:Year>1999</b:Year>
    <b:Pages>274</b:Pages>
    <b:RefOrder>329</b:RefOrder>
  </b:Source>
  <b:Source>
    <b:Tag>Bos</b:Tag>
    <b:SourceType>Misc</b:SourceType>
    <b:Guid>{ADAE9376-9CCC-42CD-876C-15D5416EBF4B}</b:Guid>
    <b:Title>Bosch: Konzeptionelle Modellierung IKT Referenzmodell - Vertragsobjekte bei Mobilitäts- und Informationsdiensten, MeRegio Mobil AP 130</b:Title>
    <b:Medium>MeRegio Mobil AP 130</b:Medium>
    <b:Year>Stand 11.06.2010</b:Year>
    <b:Court>MeRegio Mobil AP 130, Stand 11.06.2010</b:Court>
    <b:ShortTitle>Bosch: Meregio Mobil AP 130</b:ShortTitle>
    <b:RefOrder>330</b:RefOrder>
  </b:Source>
  <b:Source>
    <b:Tag>Bor11</b:Tag>
    <b:SourceType>Book</b:SourceType>
    <b:Guid>{1C00D8C2-EB34-45C3-BEFD-075C44D5FDCB}</b:Guid>
    <b:Author>
      <b:Author>
        <b:NameList>
          <b:Person>
            <b:Last>Borges</b:Last>
            <b:First>Georg</b:First>
          </b:Person>
          <b:Person>
            <b:Last>Schwenk</b:Last>
            <b:First>Jörg</b:First>
          </b:Person>
          <b:Person>
            <b:Last>Stuckenberg</b:Last>
            <b:First>Carl-Friedrich</b:First>
          </b:Person>
          <b:Person>
            <b:Last>Wegener</b:Last>
            <b:First>Christoph</b:First>
          </b:Person>
        </b:NameList>
      </b:Author>
    </b:Author>
    <b:Title>Identitätsdiebstahl und Identitätsmissbrauch im Internet</b:Title>
    <b:Year>2011</b:Year>
    <b:City>Heidelberg</b:City>
    <b:ShortTitle>Identitätsdiebstahl und Identitätsmissbrauch im Internet</b:ShortTitle>
    <b:RefOrder>331</b:RefOrder>
  </b:Source>
  <b:Source>
    <b:Tag>Bor05</b:Tag>
    <b:SourceType>ArticleInAPeriodical</b:SourceType>
    <b:Guid>{949B23C0-B6E4-4F90-9C8D-911C2DE59948}</b:Guid>
    <b:Author>
      <b:Author>
        <b:NameList>
          <b:Person>
            <b:Last>Borges</b:Last>
            <b:First>Georg</b:First>
          </b:Person>
        </b:NameList>
      </b:Author>
    </b:Author>
    <b:Title>Rechtsfragen des Phishing - Ein Überblick</b:Title>
    <b:Year>2005</b:Year>
    <b:PeriodicalTitle>NJW</b:PeriodicalTitle>
    <b:Pages>3313</b:Pages>
    <b:RefOrder>332</b:RefOrder>
  </b:Source>
  <b:Source>
    <b:Tag>Bor</b:Tag>
    <b:SourceType>Interview</b:SourceType>
    <b:Guid>{412B1C44-CE49-472D-8544-9B8BCC7735A3}</b:Guid>
    <b:Author>
      <b:Editor>
        <b:NameList>
          <b:Person>
            <b:Last>Borges</b:Last>
            <b:First>Georg</b:First>
          </b:Person>
        </b:NameList>
      </b:Editor>
    </b:Author>
    <b:Day>16.05.2008</b:Day>
    <b:Publisher>LG Mannheim</b:Publisher>
    <b:Pages>BKR 2009, 84</b:Pages>
    <b:RefOrder>333</b:RefOrder>
  </b:Source>
  <b:Source>
    <b:Tag>Boe08</b:Tag>
    <b:SourceType>ArticleInAPeriodical</b:SourceType>
    <b:Guid>{B3BA05A7-7CDE-460B-AE29-60398F10AEE9}</b:Guid>
    <b:Author>
      <b:Author>
        <b:NameList>
          <b:Person>
            <b:Last>Boesche</b:Last>
            <b:First>Katharina</b:First>
            <b:Middle>Vera</b:Middle>
          </b:Person>
          <b:Person>
            <b:Last>Wolf</b:Last>
            <b:First>Maik</b:First>
          </b:Person>
        </b:NameList>
      </b:Author>
    </b:Author>
    <b:Title>Das Ende der "kleinen Netze"</b:Title>
    <b:PeriodicalTitle>ZNER</b:PeriodicalTitle>
    <b:Year>2008</b:Year>
    <b:Pages>123</b:Pages>
    <b:RefOrder>334</b:RefOrder>
  </b:Source>
  <b:Source>
    <b:Tag>Boe05</b:Tag>
    <b:SourceType>ArticleInAPeriodical</b:SourceType>
    <b:Guid>{0A99B1A3-3B93-4297-8892-3F36298232CB}</b:Guid>
    <b:Author>
      <b:Author>
        <b:NameList>
          <b:Person>
            <b:Last>Boesche</b:Last>
            <b:First>Katharina</b:First>
            <b:Middle>Vera</b:Middle>
          </b:Person>
          <b:Person>
            <b:Last>Wolf</b:Last>
            <b:First>Maik</b:First>
          </b:Person>
        </b:NameList>
      </b:Author>
    </b:Author>
    <b:Title>Viel Lärm um kleine Netze</b:Title>
    <b:PeriodicalTitle>ZNER</b:PeriodicalTitle>
    <b:Year>2005</b:Year>
    <b:Pages>285</b:Pages>
    <b:RefOrder>335</b:RefOrder>
  </b:Source>
  <b:Source>
    <b:Tag>BNe9</b:Tag>
    <b:SourceType>DocumentFromInternetSite</b:SourceType>
    <b:Guid>{8838E4C0-42A5-4299-9CFD-7BD009A24607}</b:Guid>
    <b:Title>Monitoringbericht 2011</b:Title>
    <b:Pages>online über www.bundesnetzagentur.de</b:Pages>
    <b:ThesisType>28.11.2011</b:ThesisType>
    <b:ShortTitle>Monitoringbericht 2011, </b:ShortTitle>
    <b:Author>
      <b:Author>
        <b:Corporate>BNetzA</b:Corporate>
      </b:Author>
    </b:Author>
    <b:InternetSiteTitle>online über www.bundesnetzagentur.de</b:InternetSiteTitle>
    <b:DayAccessed>05.04.2012</b:DayAccessed>
    <b:RefOrder>336</b:RefOrder>
  </b:Source>
  <b:Source>
    <b:Tag>BNe7</b:Tag>
    <b:SourceType>Case</b:SourceType>
    <b:Guid>{A73A4618-0B33-4C2F-B5C6-5D6FFA765487}</b:Guid>
    <b:Title>Anlage 1 zum Beschluss BK6-11-150 vom 28.10.2011</b:Title>
    <b:Court>BNetzA,</b:Court>
    <b:RefOrder>337</b:RefOrder>
  </b:Source>
  <b:Source>
    <b:Tag>BNe6</b:Tag>
    <b:SourceType>Case</b:SourceType>
    <b:Guid>{76EB2899-FCFA-49BB-A4D5-FFA1FBB8CA57}</b:Guid>
    <b:Title>Anlage 1 zum Beschluss BK6-09-034 / BK7-09-001 vom 09.09.2010</b:Title>
    <b:Court>BNetzA,</b:Court>
    <b:RefOrder>338</b:RefOrder>
  </b:Source>
  <b:Source>
    <b:Tag>BNe5</b:Tag>
    <b:SourceType>Case</b:SourceType>
    <b:Guid>{D3F0CE7C-A733-4C75-9AE5-48A1E5521B29}</b:Guid>
    <b:Title>Anlage 2 zum Beschluss BK6-09-034 vom 09.09.2010</b:Title>
    <b:Court>BNetzA, </b:Court>
    <b:RefOrder>339</b:RefOrder>
  </b:Source>
  <b:Source>
    <b:Tag>BNe4</b:Tag>
    <b:SourceType>Case</b:SourceType>
    <b:Guid>{51BFE065-1704-4699-A91A-51C3AAA63487}</b:Guid>
    <b:Title>Anlage zum Beschluss BK6-06-009 vom 11.07.2006</b:Title>
    <b:Court>BNetzA,</b:Court>
    <b:RefOrder>340</b:RefOrder>
  </b:Source>
  <b:Source>
    <b:Tag>BNe3</b:Tag>
    <b:SourceType>Report</b:SourceType>
    <b:Guid>{7ACF5B6E-568B-4FF4-8D0D-9BD8AC74337E}</b:Guid>
    <b:Title>BNetzA: Jahresbericht 2010</b:Title>
    <b:Pages>online über www.bundesnetzagentur.de</b:Pages>
    <b:ThesisType>07.04.2011</b:ThesisType>
    <b:ShortTitle>BNetzA: Jahresbericht 2010, </b:ShortTitle>
    <b:RefOrder>341</b:RefOrder>
  </b:Source>
  <b:Source>
    <b:Tag>BNe2</b:Tag>
    <b:SourceType>Case</b:SourceType>
    <b:Guid>{338C28CA-7188-4802-8D45-F7C512621A70}</b:Guid>
    <b:Title>Beschluss BK6-09-034 vom 09.09.2010</b:Title>
    <b:Pages>online über http://www.bundesnetzagentur.de</b:Pages>
    <b:ThesisType>28.05.2010</b:ThesisType>
    <b:ShortTitle>BNetzA: Messstellenbetreiber- und Messdienstleisterprozesse bei Strom und Gas, BK6-09-034 / BK7-09-001</b:ShortTitle>
    <b:Court>BNetzA,</b:Court>
    <b:RefOrder>342</b:RefOrder>
  </b:Source>
  <b:Source>
    <b:Tag>BNe16</b:Tag>
    <b:SourceType>Case</b:SourceType>
    <b:Guid>{69B2342E-A644-468B-AA45-1ECDE4FE7237}</b:Guid>
    <b:Title>Anlage 2 zum Beschluss BK7-11-075 vom 28.10.2011</b:Title>
    <b:Court>BNetzA,</b:Court>
    <b:RefOrder>343</b:RefOrder>
  </b:Source>
  <b:Source>
    <b:Tag>BNe15</b:Tag>
    <b:SourceType>Case</b:SourceType>
    <b:Guid>{D3F84D7F-3DD5-43C7-B9C4-9439ECC0B1B2}</b:Guid>
    <b:Title>Anlage 1 zum Beschluss BK7-11-075 vom 28.10.2011</b:Title>
    <b:Court>BNetzA,</b:Court>
    <b:RefOrder>344</b:RefOrder>
  </b:Source>
  <b:Source>
    <b:Tag>BNe14</b:Tag>
    <b:SourceType>Case</b:SourceType>
    <b:Guid>{EEFBE72D-9D33-4A0E-AEE3-2D2343D2344C}</b:Guid>
    <b:Title>Anlage 2 zum Beschluss BK7-09-001 vom 09.09.2010</b:Title>
    <b:Court>BNetzA,</b:Court>
    <b:RefOrder>345</b:RefOrder>
  </b:Source>
  <b:Source>
    <b:Tag>BNe13</b:Tag>
    <b:SourceType>Case</b:SourceType>
    <b:Guid>{C9F00510-4ECF-4995-9349-46B4688CB9D7}</b:Guid>
    <b:Title>Beschluss BK7-09-001 vom 09.09.2010</b:Title>
    <b:Court>BNetzA,</b:Court>
    <b:RefOrder>346</b:RefOrder>
  </b:Source>
  <b:Source>
    <b:Tag>BNe12</b:Tag>
    <b:SourceType>Case</b:SourceType>
    <b:Guid>{37904195-9D49-4A8C-8C4A-222FA233A38C}</b:Guid>
    <b:Title>Beschluss BK7-06-067 vom 20.08.2007</b:Title>
    <b:Court>BNetzA,</b:Court>
    <b:RefOrder>347</b:RefOrder>
  </b:Source>
  <b:Source>
    <b:Tag>BNe11</b:Tag>
    <b:SourceType>Case</b:SourceType>
    <b:Guid>{57914463-BD2D-4B24-9011-ABF1AFEFC2F4}</b:Guid>
    <b:Title>Anlage 2 zum Beschluss BK6-11-150 vom 28.10.2011</b:Title>
    <b:Court>BNetzA,</b:Court>
    <b:RefOrder>348</b:RefOrder>
  </b:Source>
  <b:Source>
    <b:Tag>BNe10</b:Tag>
    <b:SourceType>Case</b:SourceType>
    <b:Guid>{1A2D3C90-0502-4B50-8274-9909AEFCCA25}</b:Guid>
    <b:Title>Anlage 3 zum Beschluss BK6-11-150 vom 28.10.2011</b:Title>
    <b:Court>BNetzA,</b:Court>
    <b:RefOrder>349</b:RefOrder>
  </b:Source>
  <b:Source>
    <b:Tag>BNe1</b:Tag>
    <b:SourceType>Case</b:SourceType>
    <b:Guid>{947BE66A-7C6D-4B86-A963-409DB88123CA}</b:Guid>
    <b:Title>Beschluss BK6-06-053 vom 11.06.2007</b:Title>
    <b:Court>BNetzA, </b:Court>
    <b:RefOrder>350</b:RefOrder>
  </b:Source>
  <b:Source>
    <b:Tag>BNe</b:Tag>
    <b:SourceType>Report</b:SourceType>
    <b:Guid>{C6DE09BD-B7FF-43E3-985A-0B04C0875CDC}</b:Guid>
    <b:Title>BNetzA: Monitoringbericht 2009</b:Title>
    <b:Pages>online über www.bundesnetzagentur.de</b:Pages>
    <b:ThesisType>01.07.2010</b:ThesisType>
    <b:ShortTitle>BNetzA: Monitoringbericht 2009, </b:ShortTitle>
    <b:RefOrder>351</b:RefOrder>
  </b:Source>
  <b:Source>
    <b:Tag>BME08</b:Tag>
    <b:SourceType>Report</b:SourceType>
    <b:Guid>{91AEF595-9D87-4E1B-9F6E-B7048426B37F}</b:Guid>
    <b:Title>BMELV: Verbraucherpolitischer Bericht 2008 der Bundesregierung</b:Title>
    <b:Year>2008</b:Year>
    <b:Pages>online über http://www.bmelv.de/SharedDocs/Downloads/Broschueren/VerbraucherpolitischerBericht.pdf?__blob=publicationFile</b:Pages>
    <b:ThesisType>19.12.2011</b:ThesisType>
    <b:ShortTitle>BMELV: Verbraucherpolitischer Bericht</b:ShortTitle>
    <b:RefOrder>352</b:RefOrder>
  </b:Source>
  <b:Source>
    <b:Tag>BKR</b:Tag>
    <b:SourceType>Case</b:SourceType>
    <b:Guid>{B1122A79-401F-4431-B86F-16914ABE5B84}</b:Guid>
    <b:Title>BKR 2009, 84</b:Title>
    <b:Court>LG Mannheim</b:Court>
    <b:RefOrder>353</b:RefOrder>
  </b:Source>
  <b:Source>
    <b:Tag>BKa</b:Tag>
    <b:SourceType>Case</b:SourceType>
    <b:Guid>{9AB064C3-0634-47FB-99A2-013F32715583}</b:Guid>
    <b:Title>BKartA, Beschluss vom 27.01.2010, Gesch.-Z. B9-188/05</b:Title>
    <b:RefOrder>354</b:RefOrder>
  </b:Source>
  <b:Source>
    <b:Tag>Biz07</b:Tag>
    <b:SourceType>ArticleInAPeriodical</b:SourceType>
    <b:Guid>{3CF0C1BD-B417-415B-B9D0-A038D43DA09C}</b:Guid>
    <b:Author>
      <b:Author>
        <b:NameList>
          <b:Person>
            <b:Last>Bizer</b:Last>
            <b:First>Johann</b:First>
          </b:Person>
        </b:NameList>
      </b:Author>
    </b:Author>
    <b:Title>Sieben Goldene Regeln des Datenschutzes</b:Title>
    <b:Year>2007</b:Year>
    <b:PeriodicalTitle>DuD</b:PeriodicalTitle>
    <b:Pages>350</b:Pages>
    <b:RefOrder>355</b:RefOrder>
  </b:Source>
  <b:Source>
    <b:Tag>Bie09</b:Tag>
    <b:SourceType>ArticleInAPeriodical</b:SourceType>
    <b:Guid>{4027C541-0FE3-4CAE-BC58-14265E6273CE}</b:Guid>
    <b:Author>
      <b:Author>
        <b:NameList>
          <b:Person>
            <b:Last>Biere</b:Last>
            <b:First>David</b:First>
          </b:Person>
          <b:Person>
            <b:Last>Dallinger</b:Last>
            <b:First>David</b:First>
          </b:Person>
          <b:Person>
            <b:Last>Wietschel</b:Last>
            <b:First>Martin</b:First>
          </b:Person>
        </b:NameList>
      </b:Author>
    </b:Author>
    <b:Title>Ökonomische Analyse der Erstnutzer von Elektrofahrzeugen</b:Title>
    <b:PeriodicalTitle>ZfE</b:PeriodicalTitle>
    <b:Year>2009</b:Year>
    <b:Pages>173</b:Pages>
    <b:RefOrder>356</b:RefOrder>
  </b:Source>
  <b:Source>
    <b:Tag>BGH9</b:Tag>
    <b:SourceType>Case</b:SourceType>
    <b:Guid>{C97CCD83-1DC5-4964-A0F8-8DE6E308AC32}</b:Guid>
    <b:Title>NJW-RR 1988, 789</b:Title>
    <b:Court>BGH</b:Court>
    <b:RefOrder>357</b:RefOrder>
  </b:Source>
  <b:Source>
    <b:Tag>BGH8</b:Tag>
    <b:SourceType>Case</b:SourceType>
    <b:Guid>{3827E4A7-90E6-481E-899A-B14AB5EF50F0}</b:Guid>
    <b:Title>NJW 1978, 2032</b:Title>
    <b:Court>BGH</b:Court>
    <b:RefOrder>358</b:RefOrder>
  </b:Source>
  <b:Source>
    <b:Tag>BGH7</b:Tag>
    <b:SourceType>Case</b:SourceType>
    <b:Guid>{A457D170-0E84-489C-A5B8-53D0E7DB7D3A}</b:Guid>
    <b:Title>NJW 1957, 1230</b:Title>
    <b:Court>BGH</b:Court>
    <b:RefOrder>359</b:RefOrder>
  </b:Source>
  <b:Source>
    <b:Tag>BGH6</b:Tag>
    <b:SourceType>Case</b:SourceType>
    <b:Guid>{F89A6A99-FEB6-4A11-92B1-E9A33EB561CB}</b:Guid>
    <b:Title>NJW 1991, 230</b:Title>
    <b:Court>BGH </b:Court>
    <b:RefOrder>360</b:RefOrder>
  </b:Source>
  <b:Source>
    <b:Tag>BGH5</b:Tag>
    <b:SourceType>Case</b:SourceType>
    <b:Guid>{58415700-22D8-43CA-AC23-9153B97562E2}</b:Guid>
    <b:Title>r + s 1991, 171</b:Title>
    <b:Court>BGH</b:Court>
    <b:RefOrder>361</b:RefOrder>
  </b:Source>
  <b:Source>
    <b:Tag>BGH4</b:Tag>
    <b:SourceType>Case</b:SourceType>
    <b:Guid>{4B6D048C-D51F-4820-B9BD-748D7B673549}</b:Guid>
    <b:Title>NJW 2001, 1140</b:Title>
    <b:Court>BGH</b:Court>
    <b:RefOrder>362</b:RefOrder>
  </b:Source>
  <b:Source>
    <b:Tag>BGH36</b:Tag>
    <b:SourceType>Case</b:SourceType>
    <b:Guid>{B98E2780-DEEB-42E9-8C51-A2F66EFC8423}</b:Guid>
    <b:Title>WuM 2011, 21</b:Title>
    <b:Court>BGH</b:Court>
    <b:RefOrder>363</b:RefOrder>
  </b:Source>
  <b:Source>
    <b:Tag>BGH35</b:Tag>
    <b:SourceType>Case</b:SourceType>
    <b:Guid>{BF4696EC-ABB9-45C5-A2F6-66C11758B6C1}</b:Guid>
    <b:Title>NJW 2002, 3323</b:Title>
    <b:Court>BGH</b:Court>
    <b:RefOrder>364</b:RefOrder>
  </b:Source>
  <b:Source>
    <b:Tag>BGH34</b:Tag>
    <b:SourceType>Case</b:SourceType>
    <b:Guid>{16554FA8-FD80-4090-B0EA-7B77A1579EE8}</b:Guid>
    <b:Title>NJW 1984, 2406</b:Title>
    <b:Court>BGH</b:Court>
    <b:RefOrder>365</b:RefOrder>
  </b:Source>
  <b:Source>
    <b:Tag>BGH33</b:Tag>
    <b:SourceType>Case</b:SourceType>
    <b:Guid>{21A8D351-093F-424E-9FBC-BBDE59820AA8}</b:Guid>
    <b:Title>NJW 1983, 1777</b:Title>
    <b:Court>BGH</b:Court>
    <b:RefOrder>366</b:RefOrder>
  </b:Source>
  <b:Source>
    <b:Tag>BGH32</b:Tag>
    <b:SourceType>Case</b:SourceType>
    <b:Guid>{25653336-7DF3-4FA7-9C38-4B22650E2517}</b:Guid>
    <b:Title>NJW 1969, 1903</b:Title>
    <b:Court>BGH</b:Court>
    <b:RefOrder>367</b:RefOrder>
  </b:Source>
  <b:Source>
    <b:Tag>BGH30</b:Tag>
    <b:SourceType>Case</b:SourceType>
    <b:Guid>{B72DE9C4-7E27-4A5C-8307-B0832412829F}</b:Guid>
    <b:Title>BGH NVwZ-RR 2011, 55</b:Title>
    <b:RefOrder>368</b:RefOrder>
  </b:Source>
  <b:Source>
    <b:Tag>BGH3</b:Tag>
    <b:SourceType>Case</b:SourceType>
    <b:Guid>{8B11A273-4E9B-4F00-865F-EB6675FEDF5D}</b:Guid>
    <b:Title>NJW 1987, 2876</b:Title>
    <b:Court>BGH</b:Court>
    <b:RefOrder>369</b:RefOrder>
  </b:Source>
  <b:Source>
    <b:Tag>BGH29</b:Tag>
    <b:SourceType>Case</b:SourceType>
    <b:Guid>{DA853CD5-17FE-4315-AA36-410E6C64C2B0}</b:Guid>
    <b:Title>BGHZ 149, 165</b:Title>
    <b:RefOrder>370</b:RefOrder>
  </b:Source>
  <b:Source>
    <b:Tag>BGH28</b:Tag>
    <b:SourceType>Case</b:SourceType>
    <b:Guid>{094CC397-E73F-4B2E-A67F-E7E16825E0FE}</b:Guid>
    <b:Title>BGHZ 179, 27</b:Title>
    <b:RefOrder>371</b:RefOrder>
  </b:Source>
  <b:Source>
    <b:Tag>BGH27</b:Tag>
    <b:SourceType>Case</b:SourceType>
    <b:Guid>{AEAB8FB5-34F4-449A-AF7F-3D87C5877CA5}</b:Guid>
    <b:Title>BGHSt 29, 180</b:Title>
    <b:RefOrder>372</b:RefOrder>
  </b:Source>
  <b:Source>
    <b:Tag>BGH26</b:Tag>
    <b:SourceType>Case</b:SourceType>
    <b:Guid>{4486AC40-74A8-4A4C-B4ED-3189F7ABB6B4}</b:Guid>
    <b:Title>BGHSt 16, 7</b:Title>
    <b:RefOrder>373</b:RefOrder>
  </b:Source>
  <b:Source>
    <b:Tag>BGH24</b:Tag>
    <b:SourceType>Case</b:SourceType>
    <b:Guid>{05E9F011-CB76-4C30-B11A-8EC921AA7F95}</b:Guid>
    <b:Title>BGH ZNER 2010, 172</b:Title>
    <b:RefOrder>374</b:RefOrder>
  </b:Source>
  <b:Source>
    <b:Tag>BGH23</b:Tag>
    <b:SourceType>Case</b:SourceType>
    <b:Guid>{111F267B-FD65-49BD-99EB-F70000565CBF}</b:Guid>
    <b:Title>BGHZ 129, 53</b:Title>
    <b:RefOrder>375</b:RefOrder>
  </b:Source>
  <b:Source>
    <b:Tag>BGH22</b:Tag>
    <b:SourceType>Case</b:SourceType>
    <b:Guid>{28B96C58-08BB-4392-AC76-AA0D9880B0AB}</b:Guid>
    <b:Title>BGH NJW 1997, 528</b:Title>
    <b:RefOrder>376</b:RefOrder>
  </b:Source>
  <b:Source>
    <b:Tag>BGH21</b:Tag>
    <b:SourceType>Case</b:SourceType>
    <b:Guid>{8E65E0A2-EEB8-4F0B-AD88-A6F6FA8ACE2D}</b:Guid>
    <b:Title>BGH NJW 2006, 300</b:Title>
    <b:RefOrder>377</b:RefOrder>
  </b:Source>
  <b:Source>
    <b:Tag>BGH20</b:Tag>
    <b:SourceType>Case</b:SourceType>
    <b:Guid>{C66A91E2-3034-4E5C-B6C8-8B7BDA944299}</b:Guid>
    <b:Title>BGHZ 7, 198, 201</b:Title>
    <b:RefOrder>378</b:RefOrder>
  </b:Source>
  <b:Source>
    <b:Tag>BGH2</b:Tag>
    <b:SourceType>Case</b:SourceType>
    <b:Guid>{4E17BE08-63AD-47E1-81B8-9D1EA903D8EE}</b:Guid>
    <b:Title>NJW 1997, 2757</b:Title>
    <b:Court>BGH</b:Court>
    <b:RefOrder>379</b:RefOrder>
  </b:Source>
  <b:Source>
    <b:Tag>BGH19</b:Tag>
    <b:SourceType>Case</b:SourceType>
    <b:Guid>{F6E55A15-A53A-44F4-B78F-ACE1A348095E}</b:Guid>
    <b:Title>BGH NJW-RR 1988, 789</b:Title>
    <b:RefOrder>380</b:RefOrder>
  </b:Source>
  <b:Source>
    <b:Tag>BGH18</b:Tag>
    <b:SourceType>Case</b:SourceType>
    <b:Guid>{C0B7AA5F-3530-4575-82AB-EF8EA86C1154}</b:Guid>
    <b:Title>BGH NJW 1968, 1233</b:Title>
    <b:RefOrder>381</b:RefOrder>
  </b:Source>
  <b:Source>
    <b:Tag>BGH17</b:Tag>
    <b:SourceType>Case</b:SourceType>
    <b:Guid>{47026988-534E-4A92-96E6-1215F19CC4DF}</b:Guid>
    <b:Title>BGH NJW 1984, 2888</b:Title>
    <b:RefOrder>382</b:RefOrder>
  </b:Source>
  <b:Source>
    <b:Tag>BGH16</b:Tag>
    <b:SourceType>Case</b:SourceType>
    <b:Guid>{291BED53-DD00-4404-A0FC-C4B36F2BA370}</b:Guid>
    <b:Title>BGH NJW 1962, 1394</b:Title>
    <b:RefOrder>383</b:RefOrder>
  </b:Source>
  <b:Source>
    <b:Tag>BGH15</b:Tag>
    <b:SourceType>Case</b:SourceType>
    <b:Guid>{2E8D6B70-6BDC-46BB-A7BB-6D031677B32A}</b:Guid>
    <b:Title>BGH NJW 1998, 1223</b:Title>
    <b:RefOrder>384</b:RefOrder>
  </b:Source>
  <b:Source>
    <b:Tag>BGH14</b:Tag>
    <b:SourceType>Case</b:SourceType>
    <b:Guid>{7669B9C2-5AAD-4F32-BDE0-C33BC065FAE6}</b:Guid>
    <b:Title>BGH NJW 2004, 2011</b:Title>
    <b:RefOrder>385</b:RefOrder>
  </b:Source>
  <b:Source>
    <b:Tag>BGH13</b:Tag>
    <b:SourceType>Case</b:SourceType>
    <b:Guid>{842FC75B-00D9-4BA5-8F74-F5BF49E44648}</b:Guid>
    <b:Title>NJW 1998, 79</b:Title>
    <b:Court>BGH</b:Court>
    <b:RefOrder>386</b:RefOrder>
  </b:Source>
  <b:Source>
    <b:Tag>BGH12</b:Tag>
    <b:SourceType>Case</b:SourceType>
    <b:Guid>{FE2EC882-554A-4A60-BE98-96C84A29C10C}</b:Guid>
    <b:Title>NJOZ 2003, 1887</b:Title>
    <b:Court>BGH</b:Court>
    <b:RefOrder>387</b:RefOrder>
  </b:Source>
  <b:Source>
    <b:Tag>BGH11</b:Tag>
    <b:SourceType>Case</b:SourceType>
    <b:Guid>{FDFA4B03-6A02-414C-9302-3ABB7744B98F}</b:Guid>
    <b:Title>NJW 2002, 1123</b:Title>
    <b:Court>BGH</b:Court>
    <b:RefOrder>388</b:RefOrder>
  </b:Source>
  <b:Source>
    <b:Tag>BGH10</b:Tag>
    <b:SourceType>Case</b:SourceType>
    <b:Guid>{E40C4ABA-3577-42AB-BBD8-56EF9B404A5A}</b:Guid>
    <b:Title>NJW 1999, 714</b:Title>
    <b:Court>BGH</b:Court>
    <b:RefOrder>389</b:RefOrder>
  </b:Source>
  <b:Source>
    <b:Tag>BGH1</b:Tag>
    <b:SourceType>Case</b:SourceType>
    <b:Guid>{8BF0A6F6-8F67-4B21-A85C-89386873E5E2}</b:Guid>
    <b:Title>NJW 2004, 3623</b:Title>
    <b:Court>BGH</b:Court>
    <b:RefOrder>390</b:RefOrder>
  </b:Source>
  <b:Source>
    <b:Tag>BGH</b:Tag>
    <b:SourceType>Case</b:SourceType>
    <b:Guid>{40FC8BF8-E542-49E7-BCE5-8BA298974EB5}</b:Guid>
    <b:Title>BGH VIII ZR 391/03</b:Title>
    <b:RefOrder>391</b:RefOrder>
  </b:Source>
  <b:Source>
    <b:Tag>Bes8</b:Tag>
    <b:SourceType>Case</b:SourceType>
    <b:Guid>{FC82092E-523F-4404-B618-53197A599D44}</b:Guid>
    <b:Title>Beschluss BK6-11-150 vom 28.10.2011</b:Title>
    <b:Court>BNetzA, </b:Court>
    <b:RefOrder>392</b:RefOrder>
  </b:Source>
  <b:Source>
    <b:Tag>Bes7</b:Tag>
    <b:SourceType>Case</b:SourceType>
    <b:Guid>{99C10D82-974A-416F-9C07-A9F1D8CDB61E}</b:Guid>
    <b:Title>Beschluss BK6-07-002 vom 10.06.2009</b:Title>
    <b:Court>BNetzA,</b:Court>
    <b:RefOrder>393</b:RefOrder>
  </b:Source>
  <b:Source>
    <b:Tag>Bes6</b:Tag>
    <b:SourceType>Case</b:SourceType>
    <b:Guid>{02BB2AA1-3C44-4E61-BC2D-24B9B4C70415}</b:Guid>
    <b:Title>BNetzA, Beschluss BK6-10-097 vom 12.04.2011</b:Title>
    <b:RefOrder>394</b:RefOrder>
  </b:Source>
  <b:Source>
    <b:Tag>Bes5</b:Tag>
    <b:SourceType>Case</b:SourceType>
    <b:Guid>{65A670C7-9A5F-4F17-8CE0-08526E92638A}</b:Guid>
    <b:Title>BNetzA, Beschluss BK6-10-098 vom 12.04.2011</b:Title>
    <b:RefOrder>395</b:RefOrder>
  </b:Source>
  <b:Source>
    <b:Tag>Bes4</b:Tag>
    <b:SourceType>Case</b:SourceType>
    <b:Guid>{395D3D6B-44AA-47F3-A4B3-C1F15FE7CF0C}</b:Guid>
    <b:Title>Beschluss BK6-06-009 vom 11.07.2006</b:Title>
    <b:Court>BNetzA,</b:Court>
    <b:RefOrder>396</b:RefOrder>
  </b:Source>
  <b:Source>
    <b:Tag>Bes2</b:Tag>
    <b:SourceType>Report</b:SourceType>
    <b:Guid>{37B6C5D9-0F3E-4709-B3DF-528094188A59}</b:Guid>
    <b:Title>BNetzA, Beschluss BK6-06-066 vom 31.08.2007</b:Title>
    <b:Pages>online über http://www.bundesnetzagentur.de</b:Pages>
    <b:ThesisType>21.07.2010</b:ThesisType>
    <b:ShortTitle>BNetzA, Beschluss BK6-06-066 vom 31.08.2007</b:ShortTitle>
    <b:RefOrder>397</b:RefOrder>
  </b:Source>
  <b:Source>
    <b:Tag>Bes1</b:Tag>
    <b:SourceType>Report</b:SourceType>
    <b:Guid>{31778574-263C-4207-B1AA-F8BDF1C10CB1}</b:Guid>
    <b:Title>BNetzA Beschluss BK6-06-065 vom 31.08.2007</b:Title>
    <b:Pages>online über http://www.bundesnetzagentur.de</b:Pages>
    <b:ThesisType>21.07.2010</b:ThesisType>
    <b:ShortTitle>BNetzA Beschluss BK6-06-065 vom 31.08.2007</b:ShortTitle>
    <b:RefOrder>398</b:RefOrder>
  </b:Source>
  <b:Source>
    <b:Tag>Bes</b:Tag>
    <b:SourceType>Report</b:SourceType>
    <b:Guid>{0AAA4EE0-1962-4250-9614-01DDC84CCE53}</b:Guid>
    <b:Title>BNetzA, Beschluss BK6-06-012 vom 29.08.2006,</b:Title>
    <b:Pages>online über www.bundesnetzagentur.de</b:Pages>
    <b:ThesisType>01.07.2010</b:ThesisType>
    <b:ShortTitle>BNetzA, Beschluss BK6-06-012 vom 29.08.2006</b:ShortTitle>
    <b:RefOrder>399</b:RefOrder>
  </b:Source>
  <b:Source>
    <b:Tag>Bert6</b:Tag>
    <b:SourceType>ArticleInAPeriodical</b:SourceType>
    <b:Guid>{1A5D12E0-20BC-4D9A-B0A8-BC0881B9CFD7}</b:Guid>
    <b:Author>
      <b:Author>
        <b:NameList>
          <b:Person>
            <b:Last>Berg</b:Last>
            <b:First>Andreas</b:First>
          </b:Person>
          <b:Person>
            <b:Last>Zayer</b:Last>
            <b:First>Peter</b:First>
          </b:Person>
          <b:Person>
            <b:Last>Hechtfischer</b:Last>
            <b:First>Knut</b:First>
          </b:Person>
          <b:Person>
            <b:Last>Pawlitschek</b:Last>
            <b:First>Frank</b:First>
          </b:Person>
        </b:NameList>
      </b:Author>
    </b:Author>
    <b:Title>On-board Metering - einfach überall Strom tanken</b:Title>
    <b:PeriodicalTitle>ET</b:PeriodicalTitle>
    <b:Year>2011, Heft 6</b:Year>
    <b:Pages>58</b:Pages>
    <b:RefOrder>400</b:RefOrder>
  </b:Source>
  <b:Source>
    <b:Tag>Ber1</b:Tag>
    <b:SourceType>DocumentFromInternetSite</b:SourceType>
    <b:Guid>{AEBCE7B6-B848-452D-ACE8-18EDB9F210CB}</b:Guid>
    <b:Title>On-board Metering: Mobiles Messen von Tankstrom in Elektrofahrzeugen – sicher, eichgültig und abrechnungsrelevant</b:Title>
    <b:Author>
      <b:Author>
        <b:NameList>
          <b:Person>
            <b:Last>Berg</b:Last>
            <b:First>Andreas</b:First>
          </b:Person>
          <b:Person>
            <b:Last>Zisky</b:Last>
            <b:First>Norbert</b:First>
          </b:Person>
        </b:NameList>
      </b:Author>
    </b:Author>
    <b:InternetSiteTitle>online über http://www.voltaris.de/fileadmin/user_upload/pdf/Mobiles_Messen_Zisky_Berg_2012.pdf</b:InternetSiteTitle>
    <b:DayAccessed>07.05.2012</b:DayAccessed>
    <b:ShortTitle>On-board Metering: Mobiles Messen von Tankstrom in Elektrofahrzeugen – sicher, eichgültig und abrechnungsrelevant</b:ShortTitle>
    <b:RefOrder>401</b:RefOrder>
  </b:Source>
  <b:Source>
    <b:Tag>BER09</b:Tag>
    <b:SourceType>Report</b:SourceType>
    <b:Guid>{39B5129B-1FED-4B72-ADBB-DD9B70549E6D}</b:Guid>
    <b:Title>Der Berliner Beauftragte für den Datenschutz und die Informationsfreiheit: Jahresbericht 2009</b:Title>
    <b:Pages>http://www.datenschutz-berlin.de/content/veroeffentlichungen/jahresberichte</b:Pages>
    <b:ThesisType>01.07.2010</b:ThesisType>
    <b:ShortTitle>Der Berliner Beauftragte für den Datenschutz und die Informationsfreiheit: Jahresbericht 2009</b:ShortTitle>
    <b:RefOrder>402</b:RefOrder>
  </b:Source>
  <b:Source>
    <b:Tag>Ber06</b:Tag>
    <b:SourceType>Report</b:SourceType>
    <b:Guid>{A539DD45-F886-47F5-A50C-13FAF135DB13}</b:Guid>
    <b:Title>BNetzA: Bericht der Bundesnetzagentur nach § 112a EnWG zur Einführung der Anreizregulierung nach § 21a EnWG</b:Title>
    <b:Year>30.06.2006</b:Year>
    <b:ShortTitle>BNetzA: Bericht der Bundesnetzagentur nach § 112a EnWG zur Einführung der Anreizregulierung nach § 21a EnWG</b:ShortTitle>
    <b:Pages>online über www.bundesnetzagentur.de</b:Pages>
    <b:ThesisType>15.09.2010</b:ThesisType>
    <b:RefOrder>403</b:RefOrder>
  </b:Source>
  <b:Source>
    <b:Tag>Ben08</b:Tag>
    <b:SourceType>ArticleInAPeriodical</b:SourceType>
    <b:Guid>{D8DD9EE5-EE5E-461C-9B62-92D7157DDDB0}</b:Guid>
    <b:Author>
      <b:Author>
        <b:NameList>
          <b:Person>
            <b:Last>Benz</b:Last>
            <b:First>Steffen</b:First>
          </b:Person>
        </b:NameList>
      </b:Author>
    </b:Author>
    <b:Title>Energieeffizienz durch intelligente Stromzähler</b:Title>
    <b:PeriodicalTitle>ZUR</b:PeriodicalTitle>
    <b:Year>2008</b:Year>
    <b:Pages>457</b:Pages>
    <b:RefOrder>404</b:RefOrder>
  </b:Source>
  <b:Source>
    <b:Tag>Bec08</b:Tag>
    <b:SourceType>BookSection</b:SourceType>
    <b:Guid>{F56570F1-3D38-44EE-8D47-4D0F2EFC1DD7}</b:Guid>
    <b:Title>Kartellgesetz Gesetz gegen Wettbewerbsbeschränkungen Kommentar</b:Title>
    <b:Year>5. Auflage 2008</b:Year>
    <b:City>München</b:City>
    <b:Author>
      <b:Editor>
        <b:NameList>
          <b:Person>
            <b:Last>Bechtold</b:Last>
            <b:First>Rainer</b:First>
          </b:Person>
        </b:NameList>
      </b:Editor>
    </b:Author>
    <b:ShortTitle>Kartellgesetz Kommentar</b:ShortTitle>
    <b:RefOrder>405</b:RefOrder>
  </b:Source>
  <b:Source>
    <b:Tag>BDE111</b:Tag>
    <b:SourceType>DocumentFromInternetSite</b:SourceType>
    <b:Guid>{D9DD6BE3-2506-4F91-8F0E-E53FA09167A9}</b:Guid>
    <b:Title>Zur Frage der Einstufung von Stromspeichern als Letztverbraucher im EEG und EnWG - Auswirkungen des § 37 EEG und des § 118 EnWG auf Stromspeichertechnologien</b:Title>
    <b:Year>21. September 2011</b:Year>
    <b:Pages>online über http://www.bdew.de/internet.nsf/id/9F828CB2CEAD29A6C1257919003204B9/$file/Positionspapier_EEG-Umlagepflicht_fuer_Stromspeicher.pdf</b:Pages>
    <b:ThesisType>07.02.2012</b:ThesisType>
    <b:ShortTitle>Zur Frage der Einstufung von Stromspeichern als Letztverbraucher im EEG und EnWG</b:ShortTitle>
    <b:Author>
      <b:Author>
        <b:Corporate>BDEW</b:Corporate>
      </b:Author>
    </b:Author>
    <b:InternetSiteTitle>online über http://www.bdew.de/internet.nsf/id/9F828CB2CEAD29A6C1257919003204B9/$file/Positionspapier_EEG-Umlagepflicht_fuer_Stromspeicher.pdf</b:InternetSiteTitle>
    <b:DayAccessed>01.02.2012</b:DayAccessed>
    <b:RefOrder>406</b:RefOrder>
  </b:Source>
  <b:Source>
    <b:Tag>BDE11</b:Tag>
    <b:SourceType>DocumentFromInternetSite</b:SourceType>
    <b:Guid>{FB0789C0-3594-45ED-B192-A2CBF70E200E}</b:Guid>
    <b:Title>Smart Grids – auf dem Weg zu einem zukunftsfähigen Markt- und Regulierungsdesign - Diskussionspapier</b:Title>
    <b:Year>24.03.2011</b:Year>
    <b:ShortTitle>Smart Grids - Diskussionspapier</b:ShortTitle>
    <b:Author>
      <b:Author>
        <b:Corporate>BDEW</b:Corporate>
      </b:Author>
    </b:Author>
    <b:InternetSiteTitle>online über http://bdew.de/internet.nsf/id/18D2FD039FC0004CC1257880003D4F22/$file/2011-03-22%20Langfassung%20Smart%20Grids%20clean.pdf</b:InternetSiteTitle>
    <b:DayAccessed>25.05.2011</b:DayAccessed>
    <b:RefOrder>407</b:RefOrder>
  </b:Source>
  <b:Source>
    <b:Tag>BDE10</b:Tag>
    <b:SourceType>DocumentFromInternetSite</b:SourceType>
    <b:Guid>{0980A1F4-2EF5-4310-8E54-8F00C3BA96AA}</b:Guid>
    <b:Title>Leitfaden Konzessionsverträge und Konzessionsabgaben in der Strom- und Gasversorgung</b:Title>
    <b:Year>09. November 2010</b:Year>
    <b:ShortTitle>Leitfaden Konzessionsverträge und Konzessionsabgaben in der Strom- und Gasversorgung</b:ShortTitle>
    <b:Pages>online über http://www.bdew.de/internet.nsf/id/C125783000558C9FC12577DF00418462/$file/Leitfaden.pdf</b:Pages>
    <b:ThesisType>01.02.2012</b:ThesisType>
    <b:Author>
      <b:Author>
        <b:Corporate>BDEW</b:Corporate>
      </b:Author>
    </b:Author>
    <b:InternetSiteTitle>online über http://www.bdew.de/internet.nsf/id/C125783000558C9FC12577DF00418462/$file/Leitfaden.pdf</b:InternetSiteTitle>
    <b:DayAccessed>01.02.2012</b:DayAccessed>
    <b:RefOrder>408</b:RefOrder>
  </b:Source>
  <b:Source>
    <b:Tag>BDE08</b:Tag>
    <b:SourceType>Report</b:SourceType>
    <b:Guid>{1626A6ED-72FC-4F15-B6D5-85BF8A6AE647}</b:Guid>
    <b:Title>BDEW: Leitfaden - Marktzugang für neue Marktteilnehmer</b:Title>
    <b:Year>Stand 23. Oktober 2008</b:Year>
    <b:Pages>online über http://www.bdew.de/bdew.nsf/id/DE_Datenaustausch_und_Mengenbilanzierung_DuM/$file/2008-10-23_Leitfaden-Marktzugang-neue-Markteilnehmer.pdf</b:Pages>
    <b:ThesisType>10.08.2010</b:ThesisType>
    <b:ShortTitle>BDEW: Leitfaden - Marktzugang für neue Marktteilnehmer</b:ShortTitle>
    <b:RefOrder>409</b:RefOrder>
  </b:Source>
  <b:Source>
    <b:Tag>BDE</b:Tag>
    <b:SourceType>Case</b:SourceType>
    <b:Guid>{88850A86-23A1-4E10-9964-78A8FFBD5D6C}</b:Guid>
    <b:Title>EDI@Energy MSCONS Anwendungshandbuch - Bericht über die Lieferung von Daten zu Energiemengen, Version 2.1a, Stand 01.10.2008</b:Title>
    <b:Court>BDEW,</b:Court>
    <b:RefOrder>410</b:RefOrder>
  </b:Source>
  <b:Source>
    <b:Tag>Bau111</b:Tag>
    <b:SourceType>BookSection</b:SourceType>
    <b:Guid>{7FAD3097-B1C2-489E-A87E-542603A32ACF}</b:Guid>
    <b:Title>Regulierung in der Energiewirtschaft</b:Title>
    <b:Year>2011</b:Year>
    <b:City>Köln</b:City>
    <b:Author>
      <b:Editor>
        <b:NameList>
          <b:Person>
            <b:Last>Baur</b:Last>
            <b:First>Jürgen</b:First>
            <b:Middle>F.</b:Middle>
          </b:Person>
          <b:Person>
            <b:Last>Salje</b:Last>
            <b:First>Peter</b:First>
          </b:Person>
          <b:Person>
            <b:Last>Schmidt-Preuß</b:Last>
            <b:First>Matthias</b:First>
          </b:Person>
        </b:NameList>
      </b:Editor>
    </b:Author>
    <b:ShortTitle>Regulierung in der Energiewirtschaft</b:ShortTitle>
    <b:RefOrder>411</b:RefOrder>
  </b:Source>
  <b:Source>
    <b:Tag>Bau11</b:Tag>
    <b:SourceType>Book</b:SourceType>
    <b:Guid>{B546B97B-52E2-4117-9A4A-BBE07C741CBC}</b:Guid>
    <b:Title>Zivilprozessordnung</b:Title>
    <b:Year>69. Auflage 2011</b:Year>
    <b:City>München</b:City>
    <b:Author>
      <b:Editor>
        <b:NameList>
          <b:Person>
            <b:Last>Baumbach</b:Last>
            <b:First>Adolf</b:First>
          </b:Person>
          <b:Person>
            <b:Last>Lauterbach</b:Last>
            <b:First>Wolfgang</b:First>
          </b:Person>
          <b:Person>
            <b:Last>Albers</b:Last>
            <b:First>Jan</b:First>
          </b:Person>
          <b:Person>
            <b:Last>Hartmann</b:Last>
            <b:First>Peter</b:First>
          </b:Person>
        </b:NameList>
      </b:Editor>
      <b:Author>
        <b:NameList>
          <b:Person>
            <b:Last>Baumbach</b:Last>
            <b:First>Adolf</b:First>
          </b:Person>
          <b:Person>
            <b:Last>Lauterbach</b:Last>
            <b:First>Wolfgang</b:First>
          </b:Person>
          <b:Person>
            <b:Last>Albers</b:Last>
            <b:First>Jan</b:First>
          </b:Person>
          <b:Person>
            <b:Last>Hartmann</b:Last>
            <b:First>Peter</b:First>
          </b:Person>
        </b:NameList>
      </b:Author>
    </b:Author>
    <b:ShortTitle>Zivilprozessordnung</b:ShortTitle>
    <b:RefOrder>412</b:RefOrder>
  </b:Source>
  <b:Source>
    <b:Tag>Bau091</b:Tag>
    <b:SourceType>BookSection</b:SourceType>
    <b:Guid>{B3BDA6A1-2FBA-4382-9621-EB1FAE9D13F2}</b:Guid>
    <b:Title>Handbuch der Beweislast - Grundlagen</b:Title>
    <b:Year>2009</b:Year>
    <b:ShortTitle>Handbuch der Beweislast - Grundlagen</b:ShortTitle>
    <b:City>Köln</b:City>
    <b:Author>
      <b:Editor>
        <b:NameList>
          <b:Person>
            <b:Last>Baumgärtel</b:Last>
            <b:First>Gottfried</b:First>
          </b:Person>
          <b:Person>
            <b:Last>Laumen</b:Last>
            <b:First>Hans-Willi</b:First>
          </b:Person>
          <b:Person>
            <b:Last>Prütting</b:Last>
            <b:First>Hanns</b:First>
          </b:Person>
        </b:NameList>
      </b:Editor>
    </b:Author>
    <b:RefOrder>413</b:RefOrder>
  </b:Source>
  <b:Source>
    <b:Tag>Bau09</b:Tag>
    <b:SourceType>BookSection</b:SourceType>
    <b:Guid>{23E0D8DE-1E66-476F-A34B-DB11FC1C4806}</b:Guid>
    <b:Title>Handbuch der Beweislast - BGB Schuldrecht Besonderer Teil 1 §§ 433 - 610 mit UNKR</b:Title>
    <b:Year>3. Auflage 2009</b:Year>
    <b:ShortTitle>Handbuch der Beweislast - §§ 433 - 610 mit UNKR</b:ShortTitle>
    <b:City>Köln</b:City>
    <b:Author>
      <b:Editor>
        <b:NameList>
          <b:Person>
            <b:Last>Baumgärtel</b:Last>
            <b:First>Gottfried</b:First>
          </b:Person>
          <b:Person>
            <b:Last>Laumen</b:Last>
            <b:First>Hans-Willi</b:First>
          </b:Person>
          <b:Person>
            <b:Last>Prütting</b:Last>
            <b:First>Hanns</b:First>
          </b:Person>
        </b:NameList>
      </b:Editor>
    </b:Author>
    <b:RefOrder>414</b:RefOrder>
  </b:Source>
  <b:Source>
    <b:Tag>Bat09</b:Tag>
    <b:SourceType>BookSection</b:SourceType>
    <b:Guid>{F01F867E-7E99-46B7-8168-0BDD1334F6C0}</b:Guid>
    <b:Author>
      <b:Editor>
        <b:NameList>
          <b:Person>
            <b:Last>Battis</b:Last>
            <b:First>Ulrich</b:First>
          </b:Person>
          <b:Person>
            <b:Last>Krautzberger</b:Last>
            <b:First>Michael</b:First>
          </b:Person>
          <b:Person>
            <b:Last>Löhr</b:Last>
            <b:First>Rolf-Peter</b:First>
          </b:Person>
        </b:NameList>
      </b:Editor>
    </b:Author>
    <b:Title>Baugesetzbuch</b:Title>
    <b:Year>11. Auflage 2009</b:Year>
    <b:City>München</b:City>
    <b:ShortTitle>BauGB</b:ShortTitle>
    <b:RefOrder>415</b:RefOrder>
  </b:Source>
  <b:Source>
    <b:Tag>Bas06</b:Tag>
    <b:SourceType>ArticleInAPeriodical</b:SourceType>
    <b:Guid>{BB06A074-95B4-4541-A8DF-BFBB7E297B41}</b:Guid>
    <b:Title>Die Nutzung fremder Infrastrukturen im Privatrecht</b:Title>
    <b:Year>170 (2006)</b:Year>
    <b:Author>
      <b:Author>
        <b:NameList>
          <b:Person>
            <b:Last>Basedow</b:Last>
            <b:First>Jürgen</b:First>
          </b:Person>
        </b:NameList>
      </b:Author>
    </b:Author>
    <b:PeriodicalTitle>ZHR</b:PeriodicalTitle>
    <b:Pages>178</b:Pages>
    <b:RefOrder>416</b:RefOrder>
  </b:Source>
  <b:Source>
    <b:Tag>Bar10</b:Tag>
    <b:SourceType>ArticleInAPeriodical</b:SourceType>
    <b:Guid>{11B84E44-7A42-4E09-B9E3-7AB8ED2768C4}</b:Guid>
    <b:Author>
      <b:Author>
        <b:NameList>
          <b:Person>
            <b:Last>Bartsch</b:Last>
            <b:First>Markus</b:First>
          </b:Person>
        </b:NameList>
      </b:Author>
    </b:Author>
    <b:Title>Mobile Smart Meter</b:Title>
    <b:PeriodicalTitle>energiespektrum</b:PeriodicalTitle>
    <b:Year>5/2010</b:Year>
    <b:Pages>12</b:Pages>
    <b:RefOrder>417</b:RefOrder>
  </b:Source>
  <b:Source>
    <b:Tag>Bar08</b:Tag>
    <b:SourceType>BookSection</b:SourceType>
    <b:Guid>{9ABC334B-D851-42AF-8BE9-C8EAEA68DCF0}</b:Guid>
    <b:Author>
      <b:Editor>
        <b:NameList>
          <b:Person>
            <b:Last>Bartsch</b:Last>
            <b:First>Michael</b:First>
          </b:Person>
          <b:Person>
            <b:Last>Röhling</b:Last>
            <b:First>Andreas</b:First>
          </b:Person>
          <b:Person>
            <b:Last>Salje</b:Last>
            <b:First>Peter</b:First>
          </b:Person>
          <b:Person>
            <b:Last>Scholz</b:Last>
            <b:First>Ulrich</b:First>
          </b:Person>
        </b:NameList>
      </b:Editor>
    </b:Author>
    <b:Title>Stromwirtschaft - Ein Praxishandbuch</b:Title>
    <b:Year>2. Auflage 2008</b:Year>
    <b:City>Köln, München</b:City>
    <b:ShortTitle>Stromwirtschaft</b:ShortTitle>
    <b:RefOrder>418</b:RefOrder>
  </b:Source>
  <b:Source>
    <b:Tag>Bär06</b:Tag>
    <b:SourceType>ArticleInAPeriodical</b:SourceType>
    <b:Guid>{41ECCF10-7F98-4E36-806E-9B04748B90D7}</b:Guid>
    <b:Title>Energiespeicher-System für stochastisch fluktuierende Stromerzeugungsanlagen</b:Title>
    <b:Author>
      <b:Author>
        <b:NameList>
          <b:Person>
            <b:Last>Bärwaldt</b:Last>
            <b:First>Gunnar</b:First>
          </b:Person>
          <b:Person>
            <b:Last>Beck</b:Last>
            <b:First>Tobias</b:First>
          </b:Person>
          <b:Person>
            <b:Last>Kurrat</b:Last>
            <b:First>Michael</b:First>
          </b:Person>
        </b:NameList>
      </b:Author>
    </b:Author>
    <b:PeriodicalTitle>ET</b:PeriodicalTitle>
    <b:Year>10/2006</b:Year>
    <b:Pages>67</b:Pages>
    <b:RefOrder>419</b:RefOrder>
  </b:Source>
  <b:Source>
    <b:Tag>Bam091</b:Tag>
    <b:SourceType>BookSection</b:SourceType>
    <b:Guid>{B573AD7F-7CB2-48F6-9486-D024C7375B6D}</b:Guid>
    <b:Title>Beck'scher Online-Kommentar BGB</b:Title>
    <b:Year>15. Edition 2009</b:Year>
    <b:City>München</b:City>
    <b:Publisher>C.H. Beck</b:Publisher>
    <b:Author>
      <b:Editor>
        <b:NameList>
          <b:Person>
            <b:Last>Bamberger</b:Last>
            <b:First>Heinz</b:First>
            <b:Middle>Georg</b:Middle>
          </b:Person>
          <b:Person>
            <b:Last>Roth</b:Last>
            <b:First>Herbert</b:First>
          </b:Person>
        </b:NameList>
      </b:Editor>
    </b:Author>
    <b:ShortTitle>BeckOK BGB</b:ShortTitle>
    <b:RefOrder>420</b:RefOrder>
  </b:Source>
  <b:Source>
    <b:Tag>Bal10</b:Tag>
    <b:SourceType>ArticleInAPeriodical</b:SourceType>
    <b:Guid>{B9EF0C99-F197-4086-B51D-1A486C0907A8}</b:Guid>
    <b:Author>
      <b:Author>
        <b:NameList>
          <b:Person>
            <b:Last>Ballbé</b:Last>
            <b:First>Miguel</b:First>
            <b:Middle>Martin</b:Middle>
          </b:Person>
        </b:NameList>
      </b:Author>
    </b:Author>
    <b:Title>Einfache Ladestation für Elektroautos - Münztankstelle für kWh</b:Title>
    <b:PeriodicalTitle>elektor</b:PeriodicalTitle>
    <b:Year>05/2010</b:Year>
    <b:Pages>72</b:Pages>
    <b:RefOrder>421</b:RefOrder>
  </b:Source>
  <b:Source>
    <b:Tag>Bad12</b:Tag>
    <b:SourceType>BookSection</b:SourceType>
    <b:Guid>{1BE61BB8-C04F-44E6-8CDD-092CAB65F653}</b:Guid>
    <b:Title>Beck'scher Online-Kommentar VwVfG</b:Title>
    <b:Year>15. Edition 2012</b:Year>
    <b:City>München</b:City>
    <b:Author>
      <b:Editor>
        <b:NameList>
          <b:Person>
            <b:Last>Bader</b:Last>
            <b:First>Johann</b:First>
          </b:Person>
          <b:Person>
            <b:Last>Ronellenfitsch</b:Last>
            <b:First>Michael</b:First>
          </b:Person>
        </b:NameList>
      </b:Editor>
    </b:Author>
    <b:ShortTitle>BeckOK VwVfG</b:ShortTitle>
    <b:RefOrder>422</b:RefOrder>
  </b:Source>
  <b:Source>
    <b:Tag>Aus11</b:Tag>
    <b:SourceType>Report</b:SourceType>
    <b:Guid>{C44F7257-CC34-4EF3-AB40-BA9052BB516B}</b:Guid>
    <b:Title>Auswirkungen des Kernkraftwerk-Moratoriums auf die Übertragungsnetze und die Versorgungssicherheit - Bericht der Bundesnetzagentur an das Bundesministerium für Wirtschaft und Technologie</b:Title>
    <b:Year>Stand 11.04.2011</b:Year>
    <b:ShortTitle>BNetzA: Auswirkungen des Kernkraftwerk-Moratoriums auf die Übertragungsnetze und die Versorgungssicherheit</b:ShortTitle>
    <b:Pages>online über www.bundesnetzagentur.de</b:Pages>
    <b:ThesisType>20.04.2011</b:ThesisType>
    <b:RefOrder>423</b:RefOrder>
  </b:Source>
  <b:Source>
    <b:Tag>Ang06</b:Tag>
    <b:SourceType>ArticleInAPeriodical</b:SourceType>
    <b:Guid>{90001841-FDD3-44C1-8045-35BFA413F621}</b:Guid>
    <b:Title>Neue Regulierung der Strom- und Gasmärkte - Aufgaben und Organisation der Regulierungsbehörde(n)</b:Title>
    <b:Author>
      <b:Author>
        <b:NameList>
          <b:Person>
            <b:Last>Angenendt</b:Last>
            <b:First>Nicole</b:First>
          </b:Person>
          <b:Person>
            <b:Last>Gramlich</b:Last>
            <b:First>Ludwig</b:First>
          </b:Person>
          <b:Person>
            <b:Last>Pawlik</b:Last>
            <b:First>Steffen</b:First>
          </b:Person>
        </b:NameList>
      </b:Author>
    </b:Author>
    <b:PeriodicalTitle>LKV</b:PeriodicalTitle>
    <b:Year>2006</b:Year>
    <b:Pages>49</b:Pages>
    <b:RefOrder>424</b:RefOrder>
  </b:Source>
  <b:Source>
    <b:Tag>All</b:Tag>
    <b:SourceType>Report</b:SourceType>
    <b:Guid>{14BE31A7-8330-477C-8208-3A60FD072C7C}</b:Guid>
    <b:Author>
      <b:Author>
        <b:Corporate>Europäische Kommission</b:Corporate>
      </b:Author>
    </b:Author>
    <b:Title>All reactions to the Public Consultation of September - November 2010</b:Title>
    <b:InternetSiteTitle>online über</b:InternetSiteTitle>
    <b:DayAccessed>16.04.2012</b:DayAccessed>
    <b:ShortTitle>All reactions to the Public Consultation of September - November 2010</b:ShortTitle>
    <b:Pages>online über http://ec.europa.eu/enterprise/sectors/legal-metrology-and-prepack/measuring-instruments/public-consultation/index_en.htm</b:Pages>
    <b:ThesisType>12.04.2012</b:ThesisType>
    <b:RefOrder>425</b:RefOrder>
  </b:Source>
  <b:Source>
    <b:Tag>Aic12</b:Tag>
    <b:SourceType>BookSection</b:SourceType>
    <b:Guid>{C3B436D6-FB75-43E7-A0A9-A45EAE8FA160}</b:Guid>
    <b:Title>Smart Energy - Von der reaktiven Kundenverwaltung zum proaktiven Kundenmanagement</b:Title>
    <b:Year>2012</b:Year>
    <b:ShortTitle>Smart Energy</b:ShortTitle>
    <b:City>Wiesbaden</b:City>
    <b:Author>
      <b:Editor>
        <b:NameList>
          <b:Person>
            <b:Last>Aichele</b:Last>
            <b:First>Christian</b:First>
          </b:Person>
        </b:NameList>
      </b:Editor>
    </b:Author>
    <b:RefOrder>426</b:RefOrder>
  </b:Source>
  <b:Source>
    <b:Tag>AGS1</b:Tag>
    <b:SourceType>Case</b:SourceType>
    <b:Guid>{F43FDBB5-C723-4A10-A5B5-C88511644D1D}</b:Guid>
    <b:Title>NJW 2002, 3714</b:Title>
    <b:Court>AG Starnberg</b:Court>
    <b:RefOrder>427</b:RefOrder>
  </b:Source>
  <b:Source>
    <b:Tag>AGS</b:Tag>
    <b:SourceType>Case</b:SourceType>
    <b:Guid>{E295CD5E-8E73-4580-9EDE-BE81EA26F058}</b:Guid>
    <b:Title>Urt. v. 26.06.2007 - Az. 2b C 376/06 (erhältlich in juris)</b:Title>
    <b:Court>AG Spandau</b:Court>
    <b:RefOrder>428</b:RefOrder>
  </b:Source>
  <b:Source>
    <b:Tag>AGN</b:Tag>
    <b:SourceType>Case</b:SourceType>
    <b:Guid>{1649FE03-7DF1-418D-9149-3D47CC6D8AE1}</b:Guid>
    <b:Title>CR 2010, 651</b:Title>
    <b:Court>AG Nürtingen</b:Court>
    <b:RefOrder>429</b:RefOrder>
  </b:Source>
  <b:Source>
    <b:Tag>AGM11</b:Tag>
    <b:SourceType>DocumentFromInternetSite</b:SourceType>
    <b:Guid>{85584669-7A90-400C-BDFA-491FC93551C5}</b:Guid>
    <b:Title>Eichrechtliche Grundlagen im Bereich der Elektromobilität - Informationen für Händler, Netzbetreiber, Messstellenbetreiber, Messdienstleister, Hersteller, Entwickler und Konstrukteure</b:Title>
    <b:Year>Stand 01/2011</b:Year>
    <b:ShortTitle>Eichrechtliche Grundlagen im Bereich der Elektromobilität</b:ShortTitle>
    <b:Court>AGME, DAM</b:Court>
    <b:Author>
      <b:Author>
        <b:Corporate>AGME, DAM</b:Corporate>
      </b:Author>
    </b:Author>
    <b:InternetSiteTitle>online über http://www.eichamt.sachsen.de/download/infoblaetter/AGME_Infobl_Elektromobilitaet.pdf</b:InternetSiteTitle>
    <b:DayAccessed>16.04.2012</b:DayAccessed>
    <b:RefOrder>430</b:RefOrder>
  </b:Source>
  <b:Source>
    <b:Tag>AGL1</b:Tag>
    <b:SourceType>Case</b:SourceType>
    <b:Guid>{85B88768-C7F0-4538-AF15-7DAF1F8BFE42}</b:Guid>
    <b:Title>Urt. v. 12.02.2008 - Az. 6 C 0290/06, 6 C 290/06 (erhältlich in juris)</b:Title>
    <b:Court>AG Löbau</b:Court>
    <b:RefOrder>431</b:RefOrder>
  </b:Source>
  <b:Source>
    <b:Tag>AGL</b:Tag>
    <b:SourceType>Case</b:SourceType>
    <b:Guid>{F2B8EE0E-2082-4AA6-8777-D00F04D98A1D}</b:Guid>
    <b:Title>NJW-RR 1994, 1395</b:Title>
    <b:Court>AG Leipzig</b:Court>
    <b:RefOrder>432</b:RefOrder>
  </b:Source>
  <b:Source>
    <b:Tag>AGH</b:Tag>
    <b:SourceType>Case</b:SourceType>
    <b:Guid>{114114D2-5FFB-49C5-BB53-8F688170F0EF}</b:Guid>
    <b:Title>NJW-RR 1998, 1368</b:Title>
    <b:Court>AG Haßfurth</b:Court>
    <b:RefOrder>433</b:RefOrder>
  </b:Source>
  <b:Source>
    <b:Tag>AGB1</b:Tag>
    <b:SourceType>Case</b:SourceType>
    <b:Guid>{B7B82F09-2CAD-4B5F-9284-BBBDFECD3712}</b:Guid>
    <b:Title>NJW-RR 2002, 997</b:Title>
    <b:Court>AG Berlin-Charlottenburg</b:Court>
    <b:RefOrder>434</b:RefOrder>
  </b:Source>
  <b:Source>
    <b:Tag>AGB</b:Tag>
    <b:SourceType>Case</b:SourceType>
    <b:Guid>{573C4F6C-D192-421D-BCBC-8EBF4C70F89D}</b:Guid>
    <b:Title>NJW-RR 2002, 997</b:Title>
    <b:Court>AG Berlin-Tiergarten</b:Court>
    <b:RefOrder>435</b:RefOrder>
  </b:Source>
  <b:Source>
    <b:Tag>ABl1</b:Tag>
    <b:SourceType>Case</b:SourceType>
    <b:Guid>{9AB72C2A-4CF6-4CC3-9291-9F598B73BE25}</b:Guid>
    <b:Title>ABl. C 17 S. 4 vom 19.01.2001</b:Title>
    <b:RefOrder>436</b:RefOrder>
  </b:Source>
  <b:Source>
    <b:Tag>ABl</b:Tag>
    <b:SourceType>Case</b:SourceType>
    <b:Guid>{910054B9-990A-4647-A712-3DE248166523}</b:Guid>
    <b:Title>ABl. C 368 S. 51 vom 20.12.1999</b:Title>
    <b:RefOrder>437</b:RefOrder>
  </b:Source>
  <b:Source>
    <b:Tag>BNe17</b:Tag>
    <b:SourceType>Case</b:SourceType>
    <b:Guid>{12F50D7A-9F9C-4D7D-B4EA-6B3D971AD30C}</b:Guid>
    <b:Title>Beschluss BK6-10-208 vom 07.11.2011</b:Title>
    <b:Court>BNetzA, </b:Court>
    <b:RefOrder>438</b:RefOrder>
  </b:Source>
  <b:Source>
    <b:Tag>Ric2</b:Tag>
    <b:SourceType>Case</b:SourceType>
    <b:Guid>{418B7B1E-B3A1-4C92-8121-4AD20FDE271C}</b:Guid>
    <b:Title>Richtlinie 2009/72/EG des Europäischen Parlaments und des Rates vom 13.07.2009 über gemeinsame Vorschriften für den Elektrizitätsbinnenmarkt und zur Aufhebung der Richtlinie 2003/54/EG</b:Title>
    <b:RefOrder>439</b:RefOrder>
  </b:Source>
  <b:Source>
    <b:Tag>Sch113</b:Tag>
    <b:SourceType>ArticleInAPeriodical</b:SourceType>
    <b:Guid>{B8BF5AB2-4F86-4337-A5FD-30A5B21806F1}</b:Guid>
    <b:Author>
      <b:Author>
        <b:NameList>
          <b:Person>
            <b:Last>Scholtka</b:Last>
            <b:First>Boris</b:First>
          </b:Person>
          <b:Person>
            <b:Last>Helmes</b:Last>
            <b:First>Sebastian</b:First>
          </b:Person>
        </b:NameList>
      </b:Author>
    </b:Author>
    <b:Title>Energiewende 2011 - Schwerpunkte der Neuregelungen im Energiewirtschafts- und Energieumweltrecht</b:Title>
    <b:Year>2011</b:Year>
    <b:PeriodicalTitle>NJW</b:PeriodicalTitle>
    <b:Pages>3185</b:Pages>
    <b:RefOrder>440</b:RefOrder>
  </b:Source>
  <b:Source>
    <b:Tag>Gau11</b:Tag>
    <b:SourceType>ArticleInAPeriodical</b:SourceType>
    <b:Guid>{DD498162-D1F8-4120-9048-60400841A46F}</b:Guid>
    <b:Author>
      <b:Author>
        <b:NameList>
          <b:Person>
            <b:Last>Gauggel</b:Last>
            <b:First>Sabine</b:First>
          </b:Person>
        </b:NameList>
      </b:Author>
    </b:Author>
    <b:Title>Öffentliche Ladeinfrastruktur für Elektromobile: Kommunale Handlungsmöglichkeiten</b:Title>
    <b:PeriodicalTitle>IR</b:PeriodicalTitle>
    <b:Year>2011</b:Year>
    <b:Pages>252</b:Pages>
    <b:RefOrder>441</b:RefOrder>
  </b:Source>
  <b:Source>
    <b:Tag>Von11</b:Tag>
    <b:SourceType>Book</b:SourceType>
    <b:Guid>{84B910F5-E728-445F-8450-49E55B3B9BB7}</b:Guid>
    <b:Title>Einstieg in XML - Grundlagen, Praxis, Referenz</b:Title>
    <b:Year>6. Auflage 2011</b:Year>
    <b:ShortTitle>Einstieg in XML</b:ShortTitle>
    <b:City>Bonn</b:City>
    <b:Author>
      <b:Author>
        <b:NameList>
          <b:Person>
            <b:Last>Vonhoegen</b:Last>
            <b:First>Helmut</b:First>
          </b:Person>
        </b:NameList>
      </b:Author>
    </b:Author>
    <b:RefOrder>442</b:RefOrder>
  </b:Source>
  <b:Source>
    <b:Tag>Moo08</b:Tag>
    <b:SourceType>Book</b:SourceType>
    <b:Guid>{B6F34FE8-5B02-4796-ABD6-05DF1CE71492}</b:Guid>
    <b:Title>XQuery und SQL/XML in DB2-Datenbanken - Verwaltung und Erzeugung von XML-Dokumenten in DB2</b:Title>
    <b:Year>1. Auflage 2008</b:Year>
    <b:City>Wiesbaden</b:City>
    <b:ShortTitle>XQuery und SQL/XML in DB2-Datenbanken</b:ShortTitle>
    <b:Author>
      <b:Author>
        <b:NameList>
          <b:Person>
            <b:Last>Moos</b:Last>
            <b:First>Alfred</b:First>
          </b:Person>
        </b:NameList>
      </b:Author>
    </b:Author>
    <b:RefOrder>443</b:RefOrder>
  </b:Source>
  <b:Source>
    <b:Tag>Zis05</b:Tag>
    <b:SourceType>BookSection</b:SourceType>
    <b:Guid>{6FBA4045-318F-471E-A55E-C4EF26276E42}</b:Guid>
    <b:Title>PTB-IT-12: Das Selma Projekt - Konzepte, Modelle, Verfahren</b:Title>
    <b:Author>
      <b:Editor>
        <b:NameList>
          <b:Person>
            <b:Last>Zisky</b:Last>
            <b:First>Norbert</b:First>
          </b:Person>
        </b:NameList>
      </b:Editor>
    </b:Author>
    <b:Year>2005</b:Year>
    <b:Version>Braunschweig, Berlin</b:Version>
    <b:ShortTitle>Das Selma Projekt - Konzepte, Modelle, Verfahren</b:ShortTitle>
    <b:City>Berlin und Braunschweig</b:City>
    <b:RefOrder>444</b:RefOrder>
  </b:Source>
  <b:Source>
    <b:Tag>Her10</b:Tag>
    <b:SourceType>Book</b:SourceType>
    <b:Guid>{6AB8E16E-01A1-49F6-8569-344865509CAE}</b:Guid>
    <b:Title>Konsultationen</b:Title>
    <b:Year>2010</b:Year>
    <b:City>Tübingen</b:City>
    <b:Author>
      <b:Author>
        <b:NameList>
          <b:Person>
            <b:Last>Herzmann</b:Last>
            <b:First>Karsten</b:First>
          </b:Person>
        </b:NameList>
      </b:Author>
    </b:Author>
    <b:ShortTitle>Konsultationen</b:ShortTitle>
    <b:RefOrder>445</b:RefOrder>
  </b:Source>
  <b:Source>
    <b:Tag>Vog12</b:Tag>
    <b:SourceType>ArticleInAPeriodical</b:SourceType>
    <b:Guid>{F8F16FCC-EC4A-4A35-ABC2-96F3700A54BF}</b:Guid>
    <b:Author>
      <b:Author>
        <b:NameList>
          <b:Person>
            <b:Last>Vogt</b:Last>
            <b:First>Matthias</b:First>
          </b:Person>
        </b:NameList>
      </b:Author>
    </b:Author>
    <b:Title>Die Kundenanlage nach dem neuen EnWG - europarechtskonforme Ausnahme von der Regulierung?</b:Title>
    <b:Year>2012</b:Year>
    <b:PeriodicalTitle>RdE</b:PeriodicalTitle>
    <b:Pages>95</b:Pages>
    <b:RefOrder>446</b:RefOrder>
  </b:Source>
  <b:Source>
    <b:Tag>EDI</b:Tag>
    <b:SourceType>Case</b:SourceType>
    <b:Guid>{CB3C43D7-D520-402B-95C8-549A49EB9D45}</b:Guid>
    <b:Title>EDI@Energy UTILMD Anwendungshandbuch - Übermittlung von Stammdaten zu Kunden, Verträgen und Zählpunkten zu den GPKE- und GeLi Gas-Prozessen, Version 4.5, Herausgabedatum 01.04.2012</b:Title>
    <b:Court>BDEW,</b:Court>
    <b:RefOrder>447</b:RefOrder>
  </b:Source>
  <b:Source>
    <b:Tag>Sch122</b:Tag>
    <b:SourceType>ArticleInAPeriodical</b:SourceType>
    <b:Guid>{53982A47-A295-4C61-A3D8-B6121EEF9CE1}</b:Guid>
    <b:Title>Kundenanlagen - das unbekannte Wesen</b:Title>
    <b:Author>
      <b:Author>
        <b:NameList>
          <b:Person>
            <b:Last>Schwintowski</b:Last>
            <b:First>Hans-Peter</b:First>
          </b:Person>
        </b:NameList>
      </b:Author>
    </b:Author>
    <b:PeriodicalTitle>EWeRK</b:PeriodicalTitle>
    <b:Year>2012</b:Year>
    <b:Pages>43</b:Pages>
    <b:RefOrder>448</b:RefOrder>
  </b:Source>
  <b:Source>
    <b:Tag>Rüg12</b:Tag>
    <b:SourceType>ArticleInAPeriodical</b:SourceType>
    <b:Guid>{F5573B69-FEB0-4701-BCF5-3794CCDD146A}</b:Guid>
    <b:Title>Zur Neuregelung von Kundenanlagen in § 3 Nr. 24a und Nr. 24b EnWG (Teil 1)</b:Title>
    <b:Author>
      <b:Author>
        <b:NameList>
          <b:Person>
            <b:Last>Rüger</b:Last>
            <b:First>Schirin</b:First>
          </b:Person>
        </b:NameList>
      </b:Author>
    </b:Author>
    <b:PeriodicalTitle>IR</b:PeriodicalTitle>
    <b:Year>2012</b:Year>
    <b:Pages>218</b:Pages>
    <b:RefOrder>449</b:RefOrder>
  </b:Source>
  <b:Source>
    <b:Tag>Bun101</b:Tag>
    <b:SourceType>DocumentFromInternetSite</b:SourceType>
    <b:Guid>{97680A66-4174-4AEE-A16E-D197166FF997}</b:Guid>
    <b:Author>
      <b:Author>
        <b:Corporate>Bundesministerium der Finanzen</b:Corporate>
      </b:Author>
    </b:Author>
    <b:Title>Umsatzsteuer / Lohnsteuer; Anwendung des ermäßigten Umsatzsteuersatzes für Beherbergungsleistungen (§ 12 Abs. 2 Nr. 11 UStG) ab dem 1. Januar 2010; Folgen für die Umsatz- und Lohnbesteuerung</b:Title>
    <b:Year>05.03.2010</b:Year>
    <b:ShortTitle>Anwendung des ermäßigten Umsatzsteuersatzes für Beherbergungsleistungen (§ 12 Abs. 2 Nr. 11 UStG)</b:ShortTitle>
    <b:InternetSiteTitle>online über http://www.bundesfinanzministerium.de/Content/DE/Downloads/BMF_Schreiben/Steuerarten/Umsatzsteuer/053_a.pdf?__blob=publicationFile&amp;v=3</b:InternetSiteTitle>
    <b:DayAccessed>30.10.2012</b:DayAccessed>
    <b:RefOrder>450</b:RefOrder>
  </b:Source>
  <b:Source>
    <b:Tag>Urt2</b:Tag>
    <b:SourceType>Case</b:SourceType>
    <b:Guid>{48E89C63-FD52-403D-AFE8-2A0528148D9F}</b:Guid>
    <b:Title>Urt. v. 30.04.1984 - 2/24 S 328/82, 2-24 S 328/82</b:Title>
    <b:Court>LG Frankfurt a. M.</b:Court>
    <b:RefOrder>451</b:RefOrder>
  </b:Source>
  <b:Source>
    <b:Tag>Urt3</b:Tag>
    <b:SourceType>Case</b:SourceType>
    <b:Guid>{019AA3F6-2C78-4DAF-B7C5-AD4BE10C2C28}</b:Guid>
    <b:Title>Urt. v. 21.08.2009 - 22 S 93/09</b:Title>
    <b:Court>LG Düsseldorf</b:Court>
    <b:RefOrder>452</b:RefOrder>
  </b:Source>
  <b:Source>
    <b:Tag>Fel10</b:Tag>
    <b:SourceType>ArticleInAPeriodical</b:SourceType>
    <b:Guid>{63436ED2-5410-44D3-BB2F-3E5DE48F8010}</b:Guid>
    <b:Title>Ladestationen für Elektromobilität - regulierter Netzbereich oder Wettbewerb</b:Title>
    <b:Author>
      <b:Author>
        <b:NameList>
          <b:Person>
            <b:Last>Feller</b:Last>
            <b:First>Diane</b:First>
          </b:Person>
          <b:Person>
            <b:Last>de Wyl</b:Last>
            <b:First>Christian</b:First>
          </b:Person>
          <b:Person>
            <b:Last>Missling</b:Last>
            <b:First>Stefan</b:First>
          </b:Person>
        </b:NameList>
      </b:Author>
    </b:Author>
    <b:PeriodicalTitle>ZNER</b:PeriodicalTitle>
    <b:Year>2010</b:Year>
    <b:Pages>240</b:Pages>
    <b:RefOrder>453</b:RefOrder>
  </b:Source>
  <b:Source>
    <b:Tag>Höp09</b:Tag>
    <b:SourceType>Book</b:SourceType>
    <b:Guid>{96446D21-C7D2-460F-8CDC-6DDEEDAEC664}</b:Guid>
    <b:Title>Die Regulierung der Netzstruktur</b:Title>
    <b:Author>
      <b:Author>
        <b:NameList>
          <b:Person>
            <b:Last>Höppner</b:Last>
            <b:First>Thomas</b:First>
          </b:Person>
        </b:NameList>
      </b:Author>
    </b:Author>
    <b:Year>1. Auflage 2009</b:Year>
    <b:City>Baden-Baden</b:City>
    <b:ShortTitle>Die Regulierung der Netzstruktur</b:ShortTitle>
    <b:RefOrder>454</b:RefOrder>
  </b:Source>
  <b:Source>
    <b:Tag>Hel</b:Tag>
    <b:SourceType>Interview</b:SourceType>
    <b:Guid>{9F1B2DEE-2132-4F69-B5A8-1678C878AA47}</b:Guid>
    <b:Author>
      <b:Editor>
        <b:NameList>
          <b:Person>
            <b:Last>Heller</b:Last>
            <b:First>Hans</b:First>
          </b:Person>
        </b:NameList>
      </b:Editor>
    </b:Author>
    <b:Day>7.12.2011</b:Day>
    <b:Publisher>Beschl. des OLG Düsseldorf, Az. VI-Kart 1/10 (V)</b:Publisher>
    <b:Pages>EWeRK 2012, 102</b:Pages>
    <b:Title>"Fährhafen Puttgarden" - Zur Mitbenutzung von Infrastruktureinrichtungen, </b:Title>
    <b:RefOrder>455</b:RefOrder>
  </b:Source>
  <b:Source>
    <b:Tag>Pri12</b:Tag>
    <b:SourceType>BookSection</b:SourceType>
    <b:Guid>{58AE0E04-5F1E-43CF-B79A-7A0168811D3F}</b:Guid>
    <b:Title>Entflechtung und Regulierung in der deutschen Energiewirtschaft</b:Title>
    <b:Author>
      <b:Editor>
        <b:NameList>
          <b:Person>
            <b:Last>PWC</b:Last>
          </b:Person>
        </b:NameList>
      </b:Editor>
    </b:Author>
    <b:Year>3. Auflage 2012</b:Year>
    <b:City>Freiburg</b:City>
    <b:ShortTitle>Entflechtung und Regulierung in der deutschen Energiewirtschaft</b:ShortTitle>
    <b:RefOrder>456</b:RefOrder>
  </b:Source>
  <b:Source>
    <b:Tag>Bun06</b:Tag>
    <b:SourceType>DocumentFromInternetSite</b:SourceType>
    <b:Guid>{1AE9C94F-E904-4457-9048-CD0163BC5266}</b:Guid>
    <b:Title>Objektnetze - Merkblatt für Anträge nach § 110 Abs. 4 Energiewirtschaftsgesetz vom 07. Juli 2005 (BGBl. I S. 1970ff)</b:Title>
    <b:Year>Stand 7. September 2006</b:Year>
    <b:Pages>online über http://www.wirtschaftsserver.saarland.de/strom/objektnetze.pdf</b:Pages>
    <b:ThesisType>01.07.2010</b:ThesisType>
    <b:ShortTitle>Objektnetze - Merkblatt für Anträge nach § 110 Abs. 4 Energiewirtschaftsgesetz vom 07. Juli 2005 (BGBl. I S. 1970ff)</b:ShortTitle>
    <b:Author>
      <b:Author>
        <b:Corporate>Bundesnetzagentur</b:Corporate>
      </b:Author>
    </b:Author>
    <b:InternetSiteTitle>online über http://www.wirtschaftsserver.saarland.de/strom/objektnetze.pdf</b:InternetSiteTitle>
    <b:DayAccessed>15.11.2012</b:DayAccessed>
    <b:RefOrder>457</b:RefOrder>
  </b:Source>
  <b:Source>
    <b:Tag>Bes10</b:Tag>
    <b:SourceType>Case</b:SourceType>
    <b:Guid>{5B2036F6-82E9-4908-85EC-B5C64A1A5BBA}</b:Guid>
    <b:Title>Beschl. v. 28.12.2009, 1 W 35/06 (EnWG), ZNER 2010, 75</b:Title>
    <b:Court>OLG Naumburg,</b:Court>
    <b:RefOrder>458</b:RefOrder>
  </b:Source>
  <b:Source>
    <b:Tag>BTD15</b:Tag>
    <b:SourceType>Case</b:SourceType>
    <b:Guid>{37995AC5-7EA4-4989-ADC0-A42F2AF2718E}</b:Guid>
    <b:Title>BT-Drucks. 17/7181</b:Title>
    <b:RefOrder>459</b:RefOrder>
  </b:Source>
  <b:Source>
    <b:Tag>The03</b:Tag>
    <b:SourceType>ArticleInAPeriodical</b:SourceType>
    <b:Guid>{168A02AA-2B12-4D90-87DC-B07514850028}</b:Guid>
    <b:Title>Aktuelle Entwicklungen des Infrastrukturrechts</b:Title>
    <b:Author>
      <b:Author>
        <b:NameList>
          <b:Person>
            <b:Last>Theobald</b:Last>
            <b:First>Christian</b:First>
          </b:Person>
        </b:NameList>
      </b:Author>
    </b:Author>
    <b:PeriodicalTitle>NJW</b:PeriodicalTitle>
    <b:Year>2003</b:Year>
    <b:Pages>324</b:Pages>
    <b:RefOrder>460</b:RefOrder>
  </b:Source>
  <b:Source>
    <b:Tag>The11</b:Tag>
    <b:SourceType>Book</b:SourceType>
    <b:Guid>{92405A68-BEB0-4333-8BE5-A9967D977D5A}</b:Guid>
    <b:Author>
      <b:Author>
        <b:NameList>
          <b:Person>
            <b:Last>Theobald</b:Last>
            <b:First>Christian</b:First>
          </b:Person>
          <b:Person>
            <b:Last>Templin</b:Last>
            <b:First>Wolf</b:First>
          </b:Person>
        </b:NameList>
      </b:Author>
    </b:Author>
    <b:Title>Strom- und Gasverteilnetze im Wettbewerb</b:Title>
    <b:Year>2011</b:Year>
    <b:City>München</b:City>
    <b:ShortTitle>Strom- und Gasverteilnetze im Wettbewerb</b:ShortTitle>
    <b:RefOrder>461</b:RefOrder>
  </b:Source>
  <b:Source>
    <b:Tag>Hec12</b:Tag>
    <b:SourceType>ArticleInAPeriodical</b:SourceType>
    <b:Guid>{5A74F19B-747C-466B-BAE4-7461E832F2D0}</b:Guid>
    <b:Author>
      <b:Author>
        <b:NameList>
          <b:Person>
            <b:Last>Hechtfischer</b:Last>
            <b:First>Knut</b:First>
          </b:Person>
          <b:Person>
            <b:Last>Pawlitschek</b:Last>
            <b:First>Frank</b:First>
          </b:Person>
        </b:NameList>
      </b:Author>
    </b:Author>
    <b:Title>Mobile Metering: Auf mobiler Messtechnik beruhende Ladeinfrastruktur</b:Title>
    <b:Year>2012</b:Year>
    <b:PeriodicalTitle>IR</b:PeriodicalTitle>
    <b:Pages>278</b:Pages>
    <b:RefOrder>462</b:RefOrder>
  </b:Source>
  <b:Source>
    <b:Tag>Reg12</b:Tag>
    <b:SourceType>DocumentFromInternetSite</b:SourceType>
    <b:Guid>{B3D40EF9-BF65-472B-8257-BB85654B726E}</b:Guid>
    <b:Author>
      <b:Author>
        <b:Corporate>Regulierungsbehörden der Länder, BNetzA</b:Corporate>
      </b:Author>
    </b:Author>
    <b:Title>Gemeinsames Positionspapier der Regulierungsbehörden der Länder und der Bundesnetzagentur zu geschlossenen Verteilernetzen gem. § 110 EnWG</b:Title>
    <b:Year>23.02.2012</b:Year>
    <b:InternetSiteTitle>online über http://www.bundesnetzagentur.de/SharedDocs/Downloads/DE/BNetzA/Sachgebiete/Energie/AllgemInformation/LeitfadenGeschlVerteilernetze/LeitfadenGeschlVerteilernetze.pdf?__blob=publicationFile</b:InternetSiteTitle>
    <b:DayAccessed>23.11.2012</b:DayAccessed>
    <b:ShortTitle>Positionspapier zu geschlossenen Verteilernetzen gem. § 110 EnWG</b:ShortTitle>
    <b:RefOrder>463</b:RefOrder>
  </b:Source>
  <b:Source>
    <b:Tag>Scht6</b:Tag>
    <b:SourceType>ArticleInAPeriodical</b:SourceType>
    <b:Guid>{1DE60B0E-B694-492D-8B4F-8722C6AA9B15}</b:Guid>
    <b:Author>
      <b:Author>
        <b:NameList>
          <b:Person>
            <b:Last>Schau</b:Last>
            <b:First>Götz-Friedrich</b:First>
          </b:Person>
        </b:NameList>
      </b:Author>
    </b:Author>
    <b:Title>Wann ist ein Netz ein Netz? (Teil 2)</b:Title>
    <b:PeriodicalTitle>IR</b:PeriodicalTitle>
    <b:Year>2007</b:Year>
    <b:Pages>122</b:Pages>
    <b:RefOrder>464</b:RefOrder>
  </b:Source>
  <b:Source>
    <b:Tag>Bes3</b:Tag>
    <b:SourceType>Case</b:SourceType>
    <b:Guid>{E13B4F57-D8DC-40A3-8016-B0B3F5B6786D}</b:Guid>
    <b:Title>Beschl. v. 27.05.2010, NJOZ 2010, 1971</b:Title>
    <b:Court>OLG Stuttgart</b:Court>
    <b:RefOrder>465</b:RefOrder>
  </b:Source>
  <b:Source>
    <b:Tag>Ort12</b:Tag>
    <b:SourceType>ArticleInAPeriodical</b:SourceType>
    <b:Guid>{2E28E011-31CA-4F35-9057-6CDB8AFAAD37}</b:Guid>
    <b:Title>Der Leitfaden zu den geschlossenen Verteilernetzen - Überblick über das "Gemeinsame Positionspapier der Regulierungsbehörden der Länder und der Bundesnetzagentur zu geschlossenen Verteilernetzen gem. § 110 EnWG vom 23.02.2012"</b:Title>
    <b:Year>2012</b:Year>
    <b:PeriodicalTitle>EWeRK</b:PeriodicalTitle>
    <b:Pages>88</b:Pages>
    <b:Author>
      <b:Author>
        <b:NameList>
          <b:Person>
            <b:Last>Ortlieb</b:Last>
            <b:First>Birgit</b:First>
          </b:Person>
        </b:NameList>
      </b:Author>
    </b:Author>
    <b:RefOrder>466</b:RefOrder>
  </b:Source>
  <b:Source>
    <b:Tag>Anl1</b:Tag>
    <b:SourceType>Case</b:SourceType>
    <b:Guid>{E3291DDC-2F49-4DA0-BB61-8EBCD1D1C4EC}</b:Guid>
    <b:Title>Anlage 1 zum Beschluss BK7-09-001 vom 09.09.2010, Konsolidierte Lesefassung in der Fassung der letzten Änderung durch den Beschluss BK6-11-150 vom 28.10.2011</b:Title>
    <b:Court>BNetzA, </b:Court>
    <b:RefOrder>467</b:RefOrder>
  </b:Source>
  <b:Source>
    <b:Tag>Anl</b:Tag>
    <b:SourceType>Case</b:SourceType>
    <b:Guid>{6298B67A-7789-44AB-B396-BFE451AD4D55}</b:Guid>
    <b:Title>Anlage zum Beschluss BK6-06-009 vom 11.07.2006, Konsolidierte Lesefassung in der Fassung der letzten Änderung durch den Beschluss BK6-11-150 vom 28.10.2011</b:Title>
    <b:Court>BNetzA,</b:Court>
    <b:RefOrder>468</b:RefOrder>
  </b:Source>
  <b:Source>
    <b:Tag>Sal12</b:Tag>
    <b:SourceType>Book</b:SourceType>
    <b:Guid>{8DE4C079-7790-40CD-BCFD-68E16750EAB2}</b:Guid>
    <b:Title>EEG 2012 - Gesetz für den Vorrang Erneuerbarer Energien</b:Title>
    <b:Author>
      <b:Author>
        <b:NameList>
          <b:Person>
            <b:Last>Salje</b:Last>
            <b:First>Peter</b:First>
          </b:Person>
        </b:NameList>
      </b:Author>
    </b:Author>
    <b:Year>6. Auflage 2012</b:Year>
    <b:City>Köln</b:City>
    <b:ShortTitle>EEG 2012</b:ShortTitle>
    <b:RefOrder>469</b:RefOrder>
  </b:Source>
  <b:Source>
    <b:Tag>Rüg121</b:Tag>
    <b:SourceType>ArticleInAPeriodical</b:SourceType>
    <b:Guid>{B70E9395-9AB9-46A9-B848-D1B82C87B6E6}</b:Guid>
    <b:Author>
      <b:Author>
        <b:NameList>
          <b:Person>
            <b:Last>Rüger</b:Last>
            <b:First>Schirin</b:First>
          </b:Person>
        </b:NameList>
      </b:Author>
    </b:Author>
    <b:Title>Zur Neuregelung von Kundenanlagen in § 3 Nr. 24a und Nr. 24b EnWG (Teil 2)</b:Title>
    <b:Year>2012</b:Year>
    <b:PeriodicalTitle>IR</b:PeriodicalTitle>
    <b:Pages>338</b:Pages>
    <b:RefOrder>470</b:RefOrder>
  </b:Source>
  <b:Source>
    <b:Tag>BRD11</b:Tag>
    <b:SourceType>Case</b:SourceType>
    <b:Guid>{46F112D7-D6EC-432A-82C0-79788467682D}</b:Guid>
    <b:Title>BR-Drucks. 185/91</b:Title>
    <b:RefOrder>471</b:RefOrder>
  </b:Source>
  <b:Source>
    <b:Tag>Wei10</b:Tag>
    <b:SourceType>Book</b:SourceType>
    <b:Guid>{2EE774D8-0F46-460C-BE9F-ABEB0BF375E4}</b:Guid>
    <b:Author>
      <b:Author>
        <b:NameList>
          <b:Person>
            <b:Last>Weichert</b:Last>
            <b:First>Norbert</b:First>
          </b:Person>
          <b:Person>
            <b:Last>Wülker</b:Last>
            <b:First>Michael</b:First>
          </b:Person>
        </b:NameList>
      </b:Author>
    </b:Author>
    <b:Title>Messtechnik und Messdatenerfassung</b:Title>
    <b:Year>2. Auflage 2010</b:Year>
    <b:City>München</b:City>
    <b:ShortTitle>Messtechnik und Messdatenerfassung</b:ShortTitle>
    <b:RefOrder>472</b:RefOrder>
  </b:Source>
  <b:Source>
    <b:Tag>OIMft</b:Tag>
    <b:SourceType>DocumentFromInternetSite</b:SourceType>
    <b:Guid>{76AB30F3-5BFD-4B56-99E4-84A528FF02D6}</b:Guid>
    <b:Author>
      <b:Author>
        <b:Corporate>OIML</b:Corporate>
      </b:Author>
    </b:Author>
    <b:Title>R 46-1 und R 46-2, Active electrical energy meters</b:Title>
    <b:Year>final draft</b:Year>
    <b:ShortTitle>R 46-1 und R 46-2, Active electrical energy meters</b:ShortTitle>
    <b:Court>R 46-1 und R 46-2, Active electrical energy meters, online über http://www.oiml.org/publications/final_drafts/FDR_R46-1-2.pdf</b:Court>
    <b:InternetSiteTitle>online über http://www.oiml.org/publications/final_drafts/FDR_R46-1-2.pdf</b:InternetSiteTitle>
    <b:DayAccessed>22.01.2013</b:DayAccessed>
    <b:RefOrder>473</b:RefOrder>
  </b:Source>
  <b:Source>
    <b:Tag>BSI</b:Tag>
    <b:SourceType>DocumentFromInternetSite</b:SourceType>
    <b:Guid>{D2832825-4C22-47FE-89C3-DC4E48DE3780}</b:Guid>
    <b:Title>Schutzprofil für die Kommunikationseinheit eines intelligenten Messsystems für Stoff- und Energiemengen</b:Title>
    <b:Court>19.05.2011</b:Court>
    <b:Author>
      <b:Author>
        <b:Corporate>BSI</b:Corporate>
      </b:Author>
    </b:Author>
    <b:InternetSiteTitle>online über https://www.bsi.bund.de/SharedDocs/Downloads/DE/BSI/SmartMeter/PP-SmartMeter.pdf?__blob=publicationFile</b:InternetSiteTitle>
    <b:Year>Version 01.01.07 - 21. December 2012, Release Candidate</b:Year>
    <b:DayAccessed>23.02.2013</b:DayAccessed>
    <b:ShortTitle>SMGW-PP</b:ShortTitle>
    <b:RefOrder>474</b:RefOrder>
  </b:Source>
  <b:Source>
    <b:Tag>BDE13</b:Tag>
    <b:SourceType>DocumentFromInternetSite</b:SourceType>
    <b:Guid>{E345BC49-E74F-4499-8A9D-02FB4F39EC69}</b:Guid>
    <b:Author>
      <b:Author>
        <b:Corporate>BDEW</b:Corporate>
      </b:Author>
    </b:Author>
    <b:Title>Roadmap, Realistische Schritte zur Umsetzung von Smart Grids in Deutschland</b:Title>
    <b:Year>11.02.2013</b:Year>
    <b:ShortTitle>Roadmap, Realistische Schritte zur Umsetzung von Smart Grids in Deutschland</b:ShortTitle>
    <b:InternetSiteTitle>online über http://www.bdew.de/internet.nsf/id/20130211-pi-bei-smart-grids-auf-gutem-weg-de/$file/BDEW-Roadmap_Smart_Grids.pdf</b:InternetSiteTitle>
    <b:DayAccessed>12.02.2013</b:DayAccessed>
    <b:RefOrder>475</b:RefOrder>
  </b:Source>
  <b:Source>
    <b:Tag>BAU12</b:Tag>
    <b:SourceType>DocumentFromInternetSite</b:SourceType>
    <b:Guid>{B5D69FA1-1518-44E3-9CAA-4A88C9892869}</b:Guid>
    <b:Author>
      <b:Author>
        <b:Corporate>B.A.U.M. Consult GmbH</b:Corporate>
      </b:Author>
    </b:Author>
    <b:Title>Ergebnisbericht zum Förderprogramm „IKT für Elektromobilität“</b:Title>
    <b:Year>Juni 2012</b:Year>
    <b:ShortTitle>Ergebnisbericht zum Förderprogramm „IKT für Elektromobilität“</b:ShortTitle>
    <b:InternetSiteTitle>online über http://www.baumgroup.de/global/download/%7BILNKGYMNBF-124201215154-UOFGMHXRUT%7D.pdf</b:InternetSiteTitle>
    <b:DayAccessed>13.02.2013</b:DayAccessed>
    <b:RefOrder>476</b:RefOrder>
  </b:Source>
  <b:Source>
    <b:Tag>Hel13</b:Tag>
    <b:SourceType>ArticleInAPeriodical</b:SourceType>
    <b:Guid>{420EA67E-BB0D-43C2-8A32-DC2E2AD1117E}</b:Guid>
    <b:Author>
      <b:Author>
        <b:NameList>
          <b:Person>
            <b:Last>Helmes</b:Last>
            <b:First>Sebastian</b:First>
          </b:Person>
        </b:NameList>
      </b:Author>
    </b:Author>
    <b:Title>Netz oder Nicht-Netz?</b:Title>
    <b:Year>2013</b:Year>
    <b:PeriodicalTitle>EnWZ</b:PeriodicalTitle>
    <b:Pages>23</b:Pages>
    <b:RefOrder>477</b:RefOrder>
  </b:Source>
  <b:Source>
    <b:Tag>Lau11</b:Tag>
    <b:SourceType>ArticleInAPeriodical</b:SourceType>
    <b:Guid>{74C4A7E7-C56B-45A1-871D-EF16BAD2AA81}</b:Guid>
    <b:Author>
      <b:Author>
        <b:NameList>
          <b:Person>
            <b:Last>Laupichler</b:Last>
            <b:First>Dennis</b:First>
          </b:Person>
          <b:Person>
            <b:Last>Vollmer</b:Last>
            <b:First>Stefan</b:First>
          </b:Person>
          <b:Person>
            <b:Last>Bast</b:Last>
            <b:First>Holger</b:First>
          </b:Person>
          <b:Person>
            <b:Last>Intemann</b:Last>
            <b:First>Matthias</b:First>
          </b:Person>
        </b:NameList>
      </b:Author>
    </b:Author>
    <b:Title>Das BSI-Schutzprofil: Anforderungen an den Datenschutz und die Datensicherheit für Smart Metering Systeme</b:Title>
    <b:PeriodicalTitle>DuD</b:PeriodicalTitle>
    <b:Year>2011</b:Year>
    <b:Pages>542</b:Pages>
    <b:RefOrder>478</b:RefOrder>
  </b:Source>
  <b:Source>
    <b:Tag>Aic13</b:Tag>
    <b:SourceType>BookSection</b:SourceType>
    <b:Guid>{DEFF9B69-C381-4425-8DA6-DE715B75802A}</b:Guid>
    <b:Author>
      <b:Editor>
        <b:NameList>
          <b:Person>
            <b:Last>Aichele</b:Last>
            <b:First>Christian</b:First>
          </b:Person>
          <b:Person>
            <b:Last>Doleski</b:Last>
            <b:First>Oliver</b:First>
            <b:Middle>D.</b:Middle>
          </b:Person>
        </b:NameList>
      </b:Editor>
    </b:Author>
    <b:Title>Smart Meter Rollout - Praxisleitfaden zur Ausbringung intelligenter Zähler</b:Title>
    <b:Year>2013</b:Year>
    <b:City>Wiesbaden</b:City>
    <b:ShortTitle>Smart Meter Rollout</b:ShortTitle>
    <b:RefOrder>479</b:RefOrder>
  </b:Source>
  <b:Source>
    <b:Tag>Wel11</b:Tag>
    <b:SourceType>DocumentFromInternetSite</b:SourceType>
    <b:Guid>{E2C372C1-E6C9-48B2-BD7C-0173B9526DAA}</b:Guid>
    <b:Title>7.2 Ausgabe 5, Softwareleitfaden (Europäische Messgeräterichtlinie 2004/22/EC)</b:Title>
    <b:Year>Mai 2011</b:Year>
    <b:Author>
      <b:Author>
        <b:Corporate>Welmec</b:Corporate>
      </b:Author>
    </b:Author>
    <b:ShortTitle>7.2 Ausgabe 5, Softwareleitfaden (Europäische Messgeräterichtlinie 2004/22/EC)</b:ShortTitle>
    <b:InternetSiteTitle>online über http://www.welmec.org/fileadmin/user_files/publications/WG_07/WELMEC_Guide_7_2_Ausgabe5_DE.pdf</b:InternetSiteTitle>
    <b:DayAccessed>18.02.2013</b:DayAccessed>
    <b:RefOrder>480</b:RefOrder>
  </b:Source>
  <b:Source>
    <b:Tag>Wel</b:Tag>
    <b:SourceType>DocumentFromInternetSite</b:SourceType>
    <b:Guid>{64344B27-5199-4DA7-BEA5-72E824D97038}</b:Guid>
    <b:Title>11.1 Issue 4, Measuring Instruments Directive 2004/22/EC, Common application of MID for utility meters</b:Title>
    <b:Author>
      <b:Author>
        <b:Corporate>Welmec</b:Corporate>
      </b:Author>
    </b:Author>
    <b:InternetSiteTitle>online über http://www.welmec.org/fileadmin/user_files/publications/WELMEC_11.1-issue-4_Utility-meters-.pdf</b:InternetSiteTitle>
    <b:Year>Mai 2010</b:Year>
    <b:DayAccessed>18.02.2013</b:DayAccessed>
    <b:ShortTitle>11.1 Issue 4, Measuring Instruments Directive 2004/22/EC, Common application of MID for utility meters</b:ShortTitle>
    <b:RefOrder>481</b:RefOrder>
  </b:Source>
  <b:Source>
    <b:Tag>Wel08</b:Tag>
    <b:SourceType>DocumentFromInternetSite</b:SourceType>
    <b:Guid>{44C15B46-1658-483F-833E-B5F8C364E860}</b:Guid>
    <b:Author>
      <b:Author>
        <b:Corporate>Welmec</b:Corporate>
      </b:Author>
    </b:Author>
    <b:Title>1 Issue 5, WELMEC – An Introduction</b:Title>
    <b:InternetSiteTitle>online über http://www.welmec.org/fileadmin/user_files/publications/5thIssue_Introduction.pdf</b:InternetSiteTitle>
    <b:Year>Januar 2008</b:Year>
    <b:DayAccessed>18.02.2013</b:DayAccessed>
    <b:ShortTitle>1 Issue 5, WELMEC – An Introduction</b:ShortTitle>
    <b:RefOrder>482</b:RefOrder>
  </b:Source>
  <b:Source>
    <b:Tag>Wel90</b:Tag>
    <b:SourceType>DocumentFromInternetSite</b:SourceType>
    <b:Guid>{EB7A2CFF-F784-408D-B737-91CCAAB2F5CD}</b:Guid>
    <b:Author>
      <b:Author>
        <b:Corporate>Welmec</b:Corporate>
      </b:Author>
    </b:Author>
    <b:Title>Memorandum of Understanding</b:Title>
    <b:InternetSiteTitle>online über http://www.welmec.org/fileadmin/user_files/pdf/MoU8jun1990.pdf</b:InternetSiteTitle>
    <b:Year>08.06.1990</b:Year>
    <b:DayAccessed>18.02.2013</b:DayAccessed>
    <b:ShortTitle>Memorandum of Understanding</b:ShortTitle>
    <b:RefOrder>483</b:RefOrder>
  </b:Source>
  <b:Source>
    <b:Tag>Gro09</b:Tag>
    <b:SourceType>DocumentFromInternetSite</b:SourceType>
    <b:Guid>{0597DE03-AC95-42B4-9AB7-BC2AA5FDA579}</b:Guid>
    <b:Author>
      <b:Author>
        <b:NameList>
          <b:Person>
            <b:Last>Grottker</b:Last>
            <b:First>Ulrich</b:First>
          </b:Person>
        </b:NameList>
      </b:Author>
    </b:Author>
    <b:Title>Softwareanforderungen nach MID an Smart Meters und Smart Grids, 252. PTB-Seminar Kommunikative Zähler</b:Title>
    <b:InternetSiteTitle>online über http://www.ptb.de/de/org/q/q3/q31/252_ptb-seminar/Vortrag20.pdf</b:InternetSiteTitle>
    <b:Year>28./29. Oktober 2009</b:Year>
    <b:DayAccessed>21.02.2013</b:DayAccessed>
    <b:ShortTitle>Softwareanforderungen nach MID an Smart Meters und Smart Grids</b:ShortTitle>
    <b:RefOrder>484</b:RefOrder>
  </b:Source>
  <b:Source>
    <b:Tag>DIN2</b:Tag>
    <b:SourceType>Case</b:SourceType>
    <b:Guid>{E97D4D7E-1A86-4B0B-BFC9-7DD669C981C1}</b:Guid>
    <b:Title>DIN 1319-1, Grundlagen der Meßtechnik - Teil 1: Grundbegriffe</b:Title>
    <b:RefOrder>485</b:RefOrder>
  </b:Source>
  <b:Source>
    <b:Tag>Kah01</b:Tag>
    <b:SourceType>BookSection</b:SourceType>
    <b:Guid>{7AC18C8A-046D-4010-B2A7-995E5D9D7790}</b:Guid>
    <b:Title>Wettbewerb im liberalisierten Strommarkt - Regeln und Techniken</b:Title>
    <b:Year>2001</b:Year>
    <b:City>Berlin</b:City>
    <b:Author>
      <b:Editor>
        <b:NameList>
          <b:Person>
            <b:Last>Kahmann</b:Last>
            <b:First>Martin</b:First>
          </b:Person>
          <b:Person>
            <b:Last>König</b:Last>
            <b:First>Siegfried</b:First>
          </b:Person>
        </b:NameList>
      </b:Editor>
    </b:Author>
    <b:ShortTitle>Wettbewerb im liberalisierten Strommarkt</b:ShortTitle>
    <b:RefOrder>486</b:RefOrder>
  </b:Source>
  <b:Source>
    <b:Tag>Str90</b:Tag>
    <b:SourceType>Book</b:SourceType>
    <b:Guid>{0E7BE93F-4F5D-4896-AE2F-D8133AB3B36A}</b:Guid>
    <b:Title>Eichgesetz Einheitengesetz und Durchführungsverordnung - Texte und Erläuterungen</b:Title>
    <b:Year>3. Auflage 1990</b:Year>
    <b:City>Braunschweig</b:City>
    <b:Author>
      <b:Author>
        <b:NameList>
          <b:Person>
            <b:Last>Strecker</b:Last>
            <b:First>Arthur</b:First>
          </b:Person>
        </b:NameList>
      </b:Author>
    </b:Author>
    <b:ShortTitle>Eichgesetz Einheitengesetz und Durchführungsverordnung</b:ShortTitle>
    <b:RefOrder>487</b:RefOrder>
  </b:Source>
  <b:Source>
    <b:Tag>Kac13</b:Tag>
    <b:SourceType>ArticleInAPeriodical</b:SourceType>
    <b:Guid>{356D5533-79B0-4B13-8804-2853788A4719}</b:Guid>
    <b:Author>
      <b:Author>
        <b:NameList>
          <b:Person>
            <b:Last>Kachel</b:Last>
            <b:First>Markus</b:First>
          </b:Person>
          <b:Person>
            <b:Last>Weise</b:Last>
            <b:First>Michael</b:First>
          </b:Person>
          <b:Person>
            <b:Last>Wagner</b:Last>
            <b:First>Florian</b:First>
          </b:Person>
        </b:NameList>
      </b:Author>
    </b:Author>
    <b:Title>Unterzähler in Kundenanlagen - zur rechtssicheren Umsetzung des § 20 Id EnWG</b:Title>
    <b:Year>2013</b:Year>
    <b:PeriodicalTitle>IR</b:PeriodicalTitle>
    <b:Pages>2</b:Pages>
    <b:RefOrder>488</b:RefOrder>
  </b:Source>
  <b:Source>
    <b:Tag>VDE</b:Tag>
    <b:SourceType>Case</b:SourceType>
    <b:Guid>{AF5136D1-B4FF-4DB7-B171-5B2C8FE12EFA}</b:Guid>
    <b:Title>VDE-AR-N 4400, Metering Code</b:Title>
    <b:RefOrder>489</b:RefOrder>
  </b:Source>
  <b:Source>
    <b:Tag>BVe1</b:Tag>
    <b:SourceType>Case</b:SourceType>
    <b:Guid>{53F78B4B-8AB2-48B9-BB04-4ECAEB641C17}</b:Guid>
    <b:Title>BVerfGE 65, 1</b:Title>
    <b:RefOrder>490</b:RefOrder>
  </b:Source>
  <b:Source>
    <b:Tag>NJW6</b:Tag>
    <b:SourceType>Case</b:SourceType>
    <b:Guid>{6F901752-9BEB-448E-847A-CFEF8E851293}</b:Guid>
    <b:Title>NJW 1974, 1181</b:Title>
    <b:Court>BVerfG</b:Court>
    <b:RefOrder>491</b:RefOrder>
  </b:Source>
  <b:Source>
    <b:Tag>OLG9</b:Tag>
    <b:SourceType>Case</b:SourceType>
    <b:Guid>{96CBF9C0-583F-4725-A094-93A1D26BB0FF}</b:Guid>
    <b:Title>NJW-RR 2001, 1690</b:Title>
    <b:Court>OLG Dresden</b:Court>
    <b:RefOrder>492</b:RefOrder>
  </b:Source>
  <b:Source>
    <b:Tag>RdE</b:Tag>
    <b:SourceType>Case</b:SourceType>
    <b:Guid>{31C6EF7A-EF32-454D-9625-1A7F7AB72619}</b:Guid>
    <b:Title>RdE 2002, 310</b:Title>
    <b:Court>OLG Dresden</b:Court>
    <b:RefOrder>493</b:RefOrder>
  </b:Source>
  <b:Source>
    <b:Tag>Lei09</b:Tag>
    <b:SourceType>ArticleInAPeriodical</b:SourceType>
    <b:Guid>{9D66A5C7-77F9-46D7-9EE1-15BFE55B45F8}</b:Guid>
    <b:Title>Ausnahmen von der Regulierung - Zur Definition und Abgrenzung regulierungsfreier Tatbestände nach dem EnWG -</b:Title>
    <b:Author>
      <b:Author>
        <b:NameList>
          <b:Person>
            <b:Last>Leidinger</b:Last>
            <b:First>Tobias</b:First>
          </b:Person>
          <b:Person>
            <b:Last>Berger</b:Last>
            <b:First>Peter</b:First>
          </b:Person>
        </b:NameList>
      </b:Author>
    </b:Author>
    <b:PeriodicalTitle>RdE</b:PeriodicalTitle>
    <b:Year>2009</b:Year>
    <b:Pages>161</b:Pages>
    <b:RefOrder>494</b:RefOrder>
  </b:Source>
  <b:Source>
    <b:Tag>Kus07</b:Tag>
    <b:SourceType>ArticleInAPeriodical</b:SourceType>
    <b:Guid>{9342E3FB-57D4-4D73-BC4E-7783CF83D05D}</b:Guid>
    <b:Author>
      <b:Author>
        <b:NameList>
          <b:Person>
            <b:Last>Kussel</b:Last>
            <b:First>Stephanie</b:First>
          </b:Person>
        </b:NameList>
      </b:Author>
    </b:Author>
    <b:Title>Der Rechtsrahmen für die Privilegierung von Objektnetzen nach § 110 EnWG</b:Title>
    <b:PeriodicalTitle>N&amp;R</b:PeriodicalTitle>
    <b:Year>2007</b:Year>
    <b:Pages>21</b:Pages>
    <b:RefOrder>495</b:RefOrder>
  </b:Source>
  <b:Source>
    <b:Tag>NJW7</b:Tag>
    <b:SourceType>Case</b:SourceType>
    <b:Guid>{AEDF5370-34AF-49B3-9EAF-387FD296FADC}</b:Guid>
    <b:Title>NJW-RR 2005, 565</b:Title>
    <b:Court>BGH</b:Court>
    <b:RefOrder>496</b:RefOrder>
  </b:Source>
  <b:Source>
    <b:Tag>NVw</b:Tag>
    <b:SourceType>Case</b:SourceType>
    <b:Guid>{780D2627-E80C-47A0-A308-326156D33C64}</b:Guid>
    <b:Title>NVwZ 2004, 251</b:Title>
    <b:Court>BGH</b:Court>
    <b:RefOrder>497</b:RefOrder>
  </b:Source>
  <b:Source>
    <b:Tag>Scht5</b:Tag>
    <b:SourceType>ArticleInAPeriodical</b:SourceType>
    <b:Guid>{E2CE740B-A77C-4873-B48D-256887536781}</b:Guid>
    <b:Title>Wann ist ein Netz ein Netz? (Teil 1)</b:Title>
    <b:Author>
      <b:Author>
        <b:NameList>
          <b:Person>
            <b:Last>Schau</b:Last>
            <b:First>Götz-Friedrich</b:First>
          </b:Person>
        </b:NameList>
      </b:Author>
    </b:Author>
    <b:PeriodicalTitle>IR</b:PeriodicalTitle>
    <b:Year>2007</b:Year>
    <b:Pages>98</b:Pages>
    <b:RefOrder>498</b:RefOrder>
  </b:Source>
  <b:Source>
    <b:Tag>Kni05</b:Tag>
    <b:SourceType>Book</b:SourceType>
    <b:Guid>{50DD1C38-5A3D-4975-9181-5FFDB8465C5F}</b:Guid>
    <b:Title>Wettbewerbsökonomie - Regulierungstheorie, Industrieökonomie, Wettbewerbspolitik</b:Title>
    <b:Year>2. Auflage 2005</b:Year>
    <b:ShortTitle>Wettbewerbsökonomie</b:ShortTitle>
    <b:City>Berlin</b:City>
    <b:Author>
      <b:Author>
        <b:NameList>
          <b:Person>
            <b:Last>Knieps</b:Last>
            <b:First>Günter</b:First>
          </b:Person>
        </b:NameList>
      </b:Author>
    </b:Author>
    <b:RefOrder>499</b:RefOrder>
  </b:Source>
  <b:Source>
    <b:Tag>Gus13</b:Tag>
    <b:SourceType>ArticleInAPeriodical</b:SourceType>
    <b:Guid>{761BBD2F-0255-4787-9F26-DD0AE3F596E7}</b:Guid>
    <b:Title>Zugang zu Kundenanlagen nach dem Energiewirtschafts- und dem Kartellrecht</b:Title>
    <b:Author>
      <b:Author>
        <b:NameList>
          <b:Person>
            <b:Last>Gussone</b:Last>
            <b:First>Peter</b:First>
          </b:Person>
          <b:Person>
            <b:Last>Wünsch</b:Last>
            <b:First>Daniel</b:First>
          </b:Person>
        </b:NameList>
      </b:Author>
    </b:Author>
    <b:PeriodicalTitle>WuW</b:PeriodicalTitle>
    <b:Year>2013</b:Year>
    <b:Pages>464</b:Pages>
    <b:RefOrder>500</b:RefOrder>
  </b:Source>
  <b:Source>
    <b:Tag>BTD16</b:Tag>
    <b:SourceType>Case</b:SourceType>
    <b:Guid>{B3583777-639C-4BEF-8099-D0CE21A51BD1}</b:Guid>
    <b:Title>BT-Drucks. 17/11269</b:Title>
    <b:RefOrder>501</b:RefOrder>
  </b:Source>
  <b:Source>
    <b:Tag>Ber12</b:Tag>
    <b:SourceType>ArticleInAPeriodical</b:SourceType>
    <b:Guid>{B7C78CB5-E1BF-464C-BD55-AF9BB22E5532}</b:Guid>
    <b:Title>Geschlossene Verteilernetze und Kundenanlagen</b:Title>
    <b:Author>
      <b:Author>
        <b:NameList>
          <b:Person>
            <b:Last>Berzel</b:Last>
            <b:First>Christiane</b:First>
          </b:Person>
          <b:Person>
            <b:Last>Uxa</b:Last>
            <b:First>Lilian</b:First>
          </b:Person>
        </b:NameList>
      </b:Author>
    </b:Author>
    <b:PeriodicalTitle>KSzW</b:PeriodicalTitle>
    <b:Year>2012</b:Year>
    <b:Pages>427</b:Pages>
    <b:RefOrder>502</b:RefOrder>
  </b:Source>
  <b:Source>
    <b:Tag>BSI12</b:Tag>
    <b:SourceType>DocumentFromInternetSite</b:SourceType>
    <b:Guid>{88C8485F-07D8-432C-B628-70F4DE0434F6}</b:Guid>
    <b:Title>Technische Richtlinie BSI TR-03109-1, Anhang Betriebsprozesse</b:Title>
    <b:Author>
      <b:Author>
        <b:Corporate>BSI</b:Corporate>
      </b:Author>
    </b:Author>
    <b:InternetSiteTitle>online über https://www.bsi.bund.de/DE/Themen/SmartMeter/TechnRichtlinie/TR_node.html</b:InternetSiteTitle>
    <b:Year>Version 1.0 vom 18.03.2013</b:Year>
    <b:DayAccessed>10.07.2013</b:DayAccessed>
    <b:ShortTitle>Technische Richtlinie BSI TR-03109-1, Anhang Betriebsprozesse</b:ShortTitle>
    <b:RefOrder>503</b:RefOrder>
  </b:Source>
  <b:Source>
    <b:Tag>Koe10</b:Tag>
    <b:SourceType>ArticleInAPeriodical</b:SourceType>
    <b:Guid>{D6AA304B-6F08-4B94-B175-F233630A446F}</b:Guid>
    <b:Author>
      <b:Author>
        <b:NameList>
          <b:Person>
            <b:Last>Koenig</b:Last>
            <b:First>Christian</b:First>
          </b:Person>
          <b:Person>
            <b:Last>Hasenkamp</b:Last>
            <b:First>Christopher</b:First>
          </b:Person>
          <b:Person>
            <b:Last>Bache</b:Last>
            <b:First>Volker</b:First>
          </b:Person>
        </b:NameList>
      </b:Author>
    </b:Author>
    <b:Title>Das "Delivery-by-Call"-Modell als Katalysator für die Verbreitung von Smart Metering</b:Title>
    <b:Year>2010, Heft10</b:Year>
    <b:PeriodicalTitle>ET</b:PeriodicalTitle>
    <b:Pages>44</b:Pages>
    <b:RefOrder>504</b:RefOrder>
  </b:Source>
  <b:Source>
    <b:Tag>OLG13</b:Tag>
    <b:SourceType>Case</b:SourceType>
    <b:Guid>{F0630026-ED4E-447E-81AA-C1CC15160FA8}</b:Guid>
    <b:Title>ZNER 2011, 84</b:Title>
    <b:Court>OLG München</b:Court>
    <b:RefOrder>505</b:RefOrder>
  </b:Source>
  <b:Source>
    <b:Tag>BNe8</b:Tag>
    <b:SourceType>Case</b:SourceType>
    <b:Guid>{824F6B53-00D3-494D-A99D-F29EC8B23F70}</b:Guid>
    <b:Title>Anlage 1 zum Beschluss BK6-07-002 vom 10.06.2009, Konsolidierte Lesefassung in der Fassung der letzten Änderung durch den Beschluss BK6-11-150 vom 28.10.2011</b:Title>
    <b:Court>BNetzA,</b:Court>
    <b:RefOrder>506</b:RefOrder>
  </b:Source>
  <b:Source>
    <b:Tag>Fes31</b:Tag>
    <b:SourceType>Book</b:SourceType>
    <b:Guid>{D666F780-F5A6-40C9-9830-01D614EA118C}</b:Guid>
    <b:Author>
      <b:Author>
        <b:NameList>
          <b:Person>
            <b:Last>Fest</b:Last>
            <b:First>Claus</b:First>
          </b:Person>
          <b:Person>
            <b:Last>Franz</b:Last>
            <b:First>Oliver</b:First>
          </b:Person>
          <b:Person>
            <b:Last>Gaul</b:Last>
            <b:First>Armin</b:First>
          </b:Person>
          <b:Person>
            <b:Last>Voit</b:Last>
            <b:First>Stephan</b:First>
          </b:Person>
        </b:NameList>
      </b:Author>
    </b:Author>
    <b:Title>E-Roaming: Konzepte und Standards für interoperable E-Mobility</b:Title>
    <b:Year>VDE-Kongress 2010, Paper FKV 7.3.1</b:Year>
    <b:ShortTitle>E-Roaming: Konzepte und Standards für interoperable E-Mobility</b:ShortTitle>
    <b:RefOrder>507</b:RefOrder>
  </b:Source>
  <b:Source>
    <b:Tag>Warft</b:Tag>
    <b:SourceType>Book</b:SourceType>
    <b:Guid>{41F842A5-2FD2-4136-9E43-15189EA02A2E}</b:Guid>
    <b:Author>
      <b:Author>
        <b:NameList>
          <b:Person>
            <b:Last>Warweg</b:Last>
            <b:First>Oliver</b:First>
          </b:Person>
          <b:Person>
            <b:Last>Schmelzer</b:Last>
            <b:First>Knut</b:First>
          </b:Person>
          <b:Person>
            <b:Last>Ifland</b:Last>
            <b:First>Mike</b:First>
          </b:Person>
          <b:Person>
            <b:Last>Bretschneider</b:Last>
            <b:First>Peter</b:First>
          </b:Person>
          <b:Person>
            <b:Last>Westermann</b:Last>
            <b:First>Dirk</b:First>
          </b:Person>
        </b:NameList>
      </b:Author>
    </b:Author>
    <b:Title>Auswirkungen zeitvariabler Stromtarife in der Bilanzkreisabrechnung von Haushaltskunden</b:Title>
    <b:Year>VDE-Kongress 2012 - Intelligente Energieversorgung der Zukunft</b:Year>
    <b:City>Berlin</b:City>
    <b:ShortTitle>Auswirkungen zeitvariabler Stromtarife in der Bilanzkreisabrechnung von Haushaltskunden</b:ShortTitle>
    <b:RefOrder>508</b:RefOrder>
  </b:Source>
  <b:Source>
    <b:Tag>Wes13</b:Tag>
    <b:SourceType>BookSection</b:SourceType>
    <b:Guid>{87CEC0D2-7E44-415E-8223-6BD250BE9079}</b:Guid>
    <b:Author>
      <b:Editor>
        <b:NameList>
          <b:Person>
            <b:Last>Westermann</b:Last>
            <b:First>Dirk</b:First>
          </b:Person>
          <b:Person>
            <b:Last>Döring</b:Last>
            <b:First>Nicola</b:First>
          </b:Person>
          <b:Person>
            <b:Last>Bretschneider</b:Last>
            <b:First>Peter</b:First>
          </b:Person>
        </b:NameList>
      </b:Editor>
    </b:Author>
    <b:Title>Smart Metering - Zwischen technischer Herausforderung und gesellschaftlicher Akzeptanz – Interdisziplinärer Status Quo</b:Title>
    <b:Year>2013</b:Year>
    <b:City>Ilmenau</b:City>
    <b:ShortTitle>Smart Metering - Zwischen technischer Herausforderung und gesellschaftlicher Akzeptanz – Interdisziplinärer Status Quo</b:ShortTitle>
    <b:RefOrder>509</b:RefOrder>
  </b:Source>
  <b:Source>
    <b:Tag>Ang11</b:Tag>
    <b:SourceType>ArticleInAPeriodical</b:SourceType>
    <b:Guid>{495249B9-0840-4BB5-B347-6F6033C8C9B6}</b:Guid>
    <b:Title>Der energierechtliche Rahmen einer Implementierung von Smart Grids</b:Title>
    <b:Year>2011</b:Year>
    <b:Author>
      <b:Author>
        <b:NameList>
          <b:Person>
            <b:Last>Angenendt</b:Last>
            <b:First>Nicole</b:First>
          </b:Person>
          <b:Person>
            <b:Last>Boesche</b:Last>
            <b:First>Katharina</b:First>
            <b:Middle>Vera</b:Middle>
          </b:Person>
          <b:Person>
            <b:Last>Franz</b:Last>
            <b:First>Oliver</b:First>
            <b:Middle>Helge</b:Middle>
          </b:Person>
        </b:NameList>
      </b:Author>
    </b:Author>
    <b:PeriodicalTitle>RdE</b:PeriodicalTitle>
    <b:Pages>117</b:Pages>
    <b:RefOrder>510</b:RefOrder>
  </b:Source>
  <b:Source>
    <b:Tag>Nab</b:Tag>
    <b:SourceType>DocumentFromInternetSite</b:SourceType>
    <b:Guid>{92A54620-558A-4413-B099-8639E57BF10C}</b:Guid>
    <b:Author>
      <b:Author>
        <b:NameList>
          <b:Person>
            <b:Last>Nabe</b:Last>
            <b:First>Christian</b:First>
          </b:Person>
          <b:Person>
            <b:Last>Beyer</b:Last>
            <b:First>Catharina</b:First>
          </b:Person>
          <b:Person>
            <b:Last>Brodersen</b:Last>
            <b:First>Nils</b:First>
          </b:Person>
        </b:NameList>
      </b:Author>
    </b:Author>
    <b:Title>Einführung von lastvariablen und zeitvariablen Tarifen, ECOFYS, EnCT &amp; BBH Studie im Auftrag der Bundesnetzagentur für Elektrizität, Gas, Telekommunikation, Post und Eisenbahn</b:Title>
    <b:DayAccessed>25.07.2013</b:DayAccessed>
    <b:ShortTitle>Einführung von lastvariablen und zeitvariablen Tarifen</b:ShortTitle>
    <b:InternetSiteTitle>online über http://www.ecofys.com/de/veroeffentlichung/einfuhrung-von-lastvariablen-und-zeitvariablen-tarifen/</b:InternetSiteTitle>
    <b:Year>2009</b:Year>
    <b:RefOrder>511</b:RefOrder>
  </b:Source>
  <b:Source>
    <b:Tag>Lau13</b:Tag>
    <b:SourceType>BookSection</b:SourceType>
    <b:Guid>{2E79FFF4-5289-4FE2-8F86-08D60E0A1B27}</b:Guid>
    <b:Author>
      <b:Editor>
        <b:NameList>
          <b:Person>
            <b:Last>Lau</b:Last>
            <b:First>Carsten</b:First>
          </b:Person>
          <b:Person>
            <b:Last>Dechange</b:Last>
            <b:First>André</b:First>
          </b:Person>
          <b:Person>
            <b:Last>Flegel</b:Last>
            <b:First>Tina</b:First>
          </b:Person>
        </b:NameList>
      </b:Editor>
    </b:Author>
    <b:Title>Projektmanagement im Energiebereich</b:Title>
    <b:Year>2013</b:Year>
    <b:ShortTitle>Projektmanagement im Energiebereich</b:ShortTitle>
    <b:City>Wiesbaden</b:City>
    <b:RefOrder>512</b:RefOrder>
  </b:Source>
  <b:Source>
    <b:Tag>Bes11</b:Tag>
    <b:SourceType>Case</b:SourceType>
    <b:Guid>{80F2F28E-1574-4B8B-ABFA-E3791EC679BC}</b:Guid>
    <b:Title>Beschluss BK6-12-153 vom 29.10.2012</b:Title>
    <b:Court>BNetzA, </b:Court>
    <b:RefOrder>513</b:RefOrder>
  </b:Source>
  <b:Source>
    <b:Tag>Anl2</b:Tag>
    <b:SourceType>Case</b:SourceType>
    <b:Guid>{9C08F194-8368-4708-9EF6-CA21269E5DAF}</b:Guid>
    <b:Title>Anlage 1 zum Beschluss BK6-12-153 vom 29.10.2012</b:Title>
    <b:Court>BNetzA,</b:Court>
    <b:RefOrder>514</b:RefOrder>
  </b:Source>
  <b:Source>
    <b:Tag>Anl3</b:Tag>
    <b:SourceType>Case</b:SourceType>
    <b:Guid>{2C240D1C-5C3C-46A5-84C4-DC58DD0F45DD}</b:Guid>
    <b:Title>Anlage 2 zum Beschluss BK6-12-153 vom 29.10.2012</b:Title>
    <b:Court>BNetzA, </b:Court>
    <b:RefOrder>515</b:RefOrder>
  </b:Source>
  <b:Source>
    <b:Tag>BRD12</b:Tag>
    <b:SourceType>Case</b:SourceType>
    <b:Guid>{9FF5093E-5F84-463D-9236-83D3B61D5D0C}</b:Guid>
    <b:Title>BR-Drucks. 447/13</b:Title>
    <b:RefOrder>516</b:RefOrder>
  </b:Source>
  <b:Source>
    <b:Tag>BRD13</b:Tag>
    <b:SourceType>Case</b:SourceType>
    <b:Guid>{3CDEE878-C40A-423C-8D4A-4363D77CF932}</b:Guid>
    <b:Title>BR-Drucks. 447/13 (B)</b:Title>
    <b:RefOrder>517</b:RefOrder>
  </b:Source>
  <b:Source>
    <b:Tag>COM</b:Tag>
    <b:SourceType>Case</b:SourceType>
    <b:Guid>{86169588-2924-4458-B293-6CE32D02FC23}</b:Guid>
    <b:Title>COM(2013) 18 final</b:Title>
    <b:Court>Europäische Kommission, </b:Court>
    <b:RefOrder>518</b:RefOrder>
  </b:Source>
  <b:Source>
    <b:Tag>BRD14</b:Tag>
    <b:SourceType>Case</b:SourceType>
    <b:Guid>{2EAC09C3-DFA2-4FCD-BC3A-6E6AB11CDA06}</b:Guid>
    <b:Title>BR-Drucks. 48/13</b:Title>
    <b:RefOrder>519</b:RefOrder>
  </b:Source>
  <b:Source>
    <b:Tag>BDE131</b:Tag>
    <b:SourceType>DocumentFromInternetSite</b:SourceType>
    <b:Guid>{41B8FF73-2E52-4C0E-8C07-ED3918BEDAAA}</b:Guid>
    <b:Title>Positionspapier: Zum Vorschlag für eine RICHTLINIE DES EUROPÄISCHEN PARLAMENTS UND DES RATES über den Aufbau der Infrastruktur für alternative Kraftstoffe</b:Title>
    <b:Author>
      <b:Author>
        <b:Corporate>BDEW</b:Corporate>
      </b:Author>
    </b:Author>
    <b:InternetSiteTitle>online über https://bdew.de/internet.nsf/id/72999F49ECB63141C1257B6D00345E61/$file/BDEW-Position_Zum%20EU-Richtlinienentwurf%20Infrastruktur%20f%C3%BCr%20alternative%20Kraftstoffe.pdf</b:InternetSiteTitle>
    <b:Year>26.04.2013</b:Year>
    <b:DayAccessed>19.08.2013</b:DayAccessed>
    <b:ShortTitle>Positionspapier: Zum Vorschlag für eine RICHTLINIE DES EUROPÄISCHEN PARLAMENTS UND DES RATES über den Aufbau der Infrastruktur für alternative Kraftstoffe</b:ShortTitle>
    <b:RefOrder>520</b:RefOrder>
  </b:Source>
  <b:Source>
    <b:Tag>Har13</b:Tag>
    <b:SourceType>ArticleInAPeriodical</b:SourceType>
    <b:Guid>{625D836B-45A5-48FF-A106-8B2E2A6F6141}</b:Guid>
    <b:Title>Öffentliche Ladestationen als Teil des Elektrizitätsversorgungsnetzes der allgemeinen Versorgung - Teil 1</b:Title>
    <b:Year>2013</b:Year>
    <b:PeriodicalTitle>ZNER</b:PeriodicalTitle>
    <b:Pages>356</b:Pages>
    <b:Author>
      <b:Author>
        <b:NameList>
          <b:Person>
            <b:Last>Hartwig</b:Last>
            <b:First>Matthias</b:First>
          </b:Person>
        </b:NameList>
      </b:Author>
    </b:Author>
    <b:RefOrder>521</b:RefOrder>
  </b:Source>
  <b:Source>
    <b:Tag>Hüh08</b:Tag>
    <b:SourceType>ArticleInAPeriodical</b:SourceType>
    <b:Guid>{1D53F228-D75E-467A-8E8B-565ABCF4F1AA}</b:Guid>
    <b:Title>identitätsmanagement - Eine visualiserte Begriffsbestimmung</b:Title>
    <b:PeriodicalTitle>DuD</b:PeriodicalTitle>
    <b:Year>2008</b:Year>
    <b:Pages>161</b:Pages>
    <b:Author>
      <b:Author>
        <b:NameList>
          <b:Person>
            <b:Last>Hühnlein</b:Last>
            <b:First>Detlef</b:First>
          </b:Person>
        </b:NameList>
      </b:Author>
    </b:Author>
    <b:RefOrder>522</b:RefOrder>
  </b:Source>
  <b:Source>
    <b:Tag>Mat43</b:Tag>
    <b:SourceType>Book</b:SourceType>
    <b:Guid>{D70E1D0F-273C-4603-971B-D81578F41E47}</b:Guid>
    <b:Title>Berührungslose Batterieladesysteme für Elektrofahrzeuge</b:Title>
    <b:Year>VDE-Kongress 2010, Paper INI 5.4.3</b:Year>
    <b:ShortTitle>Berührungslose Batterieladesysteme für Elektrofahrzeuge</b:ShortTitle>
    <b:Author>
      <b:Author>
        <b:NameList>
          <b:Person>
            <b:Last>Mathar</b:Last>
            <b:First>Sebastian</b:First>
          </b:Person>
          <b:Person>
            <b:Last>Bilgic</b:Last>
            <b:First>Winfried</b:First>
          </b:Person>
        </b:NameList>
      </b:Author>
    </b:Author>
    <b:RefOrder>523</b:RefOrder>
  </b:Source>
  <b:Source>
    <b:Tag>Ern13</b:Tag>
    <b:SourceType>DocumentFromInternetSite</b:SourceType>
    <b:Guid>{A5C65804-DABE-4112-89AC-FB2BE3C40DFE}</b:Guid>
    <b:Title>Kosten-Nutzen-Analyse für einen flächendeckenden Einsatz intelligenter Zähler</b:Title>
    <b:Year>Stand Juli 2013</b:Year>
    <b:ShortTitle>Kosten-Nutzen-Analyse für einen flächendeckenden Einsatz intelligenter Zähler</b:ShortTitle>
    <b:Author>
      <b:Author>
        <b:Corporate>Ernst &amp; Young</b:Corporate>
      </b:Author>
    </b:Author>
    <b:InternetSiteTitle>online über http://www.bmwi.de/DE/Mediathek/publikationen,did=586064.html</b:InternetSiteTitle>
    <b:DayAccessed>06.09.2013</b:DayAccessed>
    <b:RefOrder>524</b:RefOrder>
  </b:Source>
  <b:Source>
    <b:Tag>ISO</b:Tag>
    <b:SourceType>Case</b:SourceType>
    <b:Guid>{00057E53-1866-4EA8-8F56-5BC5FA973F11}</b:Guid>
    <b:Title>Draft International Standard ISO/DIS 15118-1, Stand 23.01.2012</b:Title>
    <b:RefOrder>525</b:RefOrder>
  </b:Source>
  <b:Source>
    <b:Tag>App12</b:Tag>
    <b:SourceType>Book</b:SourceType>
    <b:Guid>{BA4153C8-9B91-4D45-9B8B-28C5B34AD8BE}</b:Guid>
    <b:Title>Future Energy Grid - Migrationspfade ins Internet der Energie (acatech Studie)</b:Title>
    <b:Year>2012</b:Year>
    <b:City>Heidelberg</b:City>
    <b:ShortTitle>Future Energy Grid - Migrationspfade ins Internet der Energie (acatech Studie)</b:ShortTitle>
    <b:Author>
      <b:Author>
        <b:NameList>
          <b:Person>
            <b:Last>Appelrath</b:Last>
            <b:First>Hans-Jürgen</b:First>
          </b:Person>
          <b:Person>
            <b:Last>Kagermann</b:Last>
            <b:First>Henning</b:First>
          </b:Person>
          <b:Person>
            <b:Last>Mayer</b:Last>
            <b:First>Christoph</b:First>
          </b:Person>
        </b:NameList>
      </b:Author>
    </b:Author>
    <b:RefOrder>526</b:RefOrder>
  </b:Source>
  <b:Source>
    <b:Tag>Ref</b:Tag>
    <b:SourceType>Case</b:SourceType>
    <b:Guid>{5A0ACC9C-1444-4091-8BC4-4A08FBAE544A}</b:Guid>
    <b:Title>Referentenentwurf der Bundesregierung, Verordnung über technische Mindestanforderungen an den Einsatz intelligenter Messsysteme (Messsystemverordnung – MsysV)</b:Title>
    <b:RefOrder>527</b:RefOrder>
  </b:Source>
  <b:Source>
    <b:Tag>Epp13</b:Tag>
    <b:SourceType>BookSection</b:SourceType>
    <b:Guid>{DC7920CE-8721-4C13-ADF7-121D778CF4F4}</b:Guid>
    <b:Title>Beck'scher Online Kommentar Grundgesetz</b:Title>
    <b:Year>Stand: 15.5.2013</b:Year>
    <b:City>München</b:City>
    <b:ShortTitle>BeckOk GG</b:ShortTitle>
    <b:Author>
      <b:Editor>
        <b:NameList>
          <b:Person>
            <b:Last>Epping</b:Last>
            <b:First>Volker</b:First>
          </b:Person>
          <b:Person>
            <b:Last>Hillgruber</b:Last>
            <b:First>Christian</b:First>
          </b:Person>
        </b:NameList>
      </b:Editor>
    </b:Author>
    <b:RefOrder>528</b:RefOrder>
  </b:Source>
  <b:Source>
    <b:Tag>May13</b:Tag>
    <b:SourceType>ArticleInAPeriodical</b:SourceType>
    <b:Guid>{746B76A2-B8FF-4401-8B35-9417B755F6C6}</b:Guid>
    <b:Title>Rechtsfragen individueller Elektromobilität im Straßenverkehr</b:Title>
    <b:PeriodicalTitle>KommJur</b:PeriodicalTitle>
    <b:Year>2013</b:Year>
    <b:Pages>361</b:Pages>
    <b:Author>
      <b:Author>
        <b:NameList>
          <b:Person>
            <b:Last>Mayer</b:Last>
            <b:First>Christian</b:First>
          </b:Person>
          <b:Person>
            <b:Last>Warnecke</b:Last>
            <b:First>Thomas</b:First>
          </b:Person>
        </b:NameList>
      </b:Author>
    </b:Author>
    <b:RefOrder>529</b:RefOrder>
  </b:Source>
  <b:Source>
    <b:Tag>vMa05</b:Tag>
    <b:SourceType>BookSection</b:SourceType>
    <b:Guid>{035968D9-6B97-4C47-823C-ADED5A02BDE4}</b:Guid>
    <b:Title>Kommentar zum Grundgesetz, Band 2: Artikel 20 bis 82</b:Title>
    <b:Year>2005</b:Year>
    <b:City>München</b:City>
    <b:ShortTitle>Grundgesetz, Band 2</b:ShortTitle>
    <b:Author>
      <b:Editor>
        <b:NameList>
          <b:Person>
            <b:Last>v. Mangoldt</b:Last>
            <b:First>Hermann</b:First>
          </b:Person>
          <b:Person>
            <b:Last>Klein</b:Last>
            <b:First>Friedrich</b:First>
          </b:Person>
          <b:Person>
            <b:Last>Starck</b:Last>
            <b:First>Christian</b:First>
          </b:Person>
        </b:NameList>
      </b:Editor>
    </b:Author>
    <b:RefOrder>530</b:RefOrder>
  </b:Source>
  <b:Source>
    <b:Tag>BVe2</b:Tag>
    <b:SourceType>Case</b:SourceType>
    <b:Guid>{18BE9893-0CC6-4EEA-A65C-A21008EF493E}</b:Guid>
    <b:Title>BVerfGE 13, 248</b:Title>
    <b:RefOrder>531</b:RefOrder>
  </b:Source>
  <b:Source>
    <b:Tag>BVe3</b:Tag>
    <b:SourceType>Case</b:SourceType>
    <b:Guid>{CD2EFDA4-E376-4D28-AEFC-D45E9CD70D62}</b:Guid>
    <b:Title>BVerfGE 78, 249</b:Title>
    <b:RefOrder>532</b:RefOrder>
  </b:Source>
  <b:Source>
    <b:Tag>BVe4</b:Tag>
    <b:SourceType>Case</b:SourceType>
    <b:Guid>{1A48D008-2C2C-4D9F-9A7A-8127198BA944}</b:Guid>
    <b:Title>BVerfGE 16, 332</b:Title>
    <b:RefOrder>533</b:RefOrder>
  </b:Source>
  <b:Source>
    <b:Tag>NJW8</b:Tag>
    <b:SourceType>Case</b:SourceType>
    <b:Guid>{63DD3515-1545-4F39-A13C-336CFC39D003}</b:Guid>
    <b:Title>NJW 1988, 1684</b:Title>
    <b:Court>OVG Koblenz</b:Court>
    <b:RefOrder>534</b:RefOrder>
  </b:Source>
  <b:Source>
    <b:Tag>BVe5</b:Tag>
    <b:SourceType>Case</b:SourceType>
    <b:Guid>{87613FFE-9790-4176-A568-1453B91F55B0}</b:Guid>
    <b:Title>BVerwGE 7, 188</b:Title>
    <b:RefOrder>535</b:RefOrder>
  </b:Source>
  <b:Source>
    <b:Tag>BVe6</b:Tag>
    <b:SourceType>Case</b:SourceType>
    <b:Guid>{A312890D-E6AA-4D50-897E-71E3D8CC49D4}</b:Guid>
    <b:Title>BVerwGE 80, 355</b:Title>
    <b:RefOrder>536</b:RefOrder>
  </b:Source>
  <b:Source>
    <b:Tag>Sod00</b:Tag>
    <b:SourceType>ArticleInAPeriodical</b:SourceType>
    <b:Guid>{8A03C46F-1B2E-467F-803B-BB7C847A2341}</b:Guid>
    <b:Title>Der Anspruch auf Rechtsetzung und seine prozessuale Durchsetzbarkeit</b:Title>
    <b:PeriodicalTitle>NVwZ</b:PeriodicalTitle>
    <b:Year>2000</b:Year>
    <b:Pages>601</b:Pages>
    <b:Author>
      <b:Author>
        <b:NameList>
          <b:Person>
            <b:Last>Sodan</b:Last>
            <b:First>Helge</b:First>
          </b:Person>
        </b:NameList>
      </b:Author>
    </b:Author>
    <b:RefOrder>537</b:RefOrder>
  </b:Source>
  <b:Source>
    <b:Tag>NVw1</b:Tag>
    <b:SourceType>Case</b:SourceType>
    <b:Guid>{9D5DA75F-996E-43AB-B866-04E2F4C7B808}</b:Guid>
    <b:Title>NVwZ 2002, 1505</b:Title>
    <b:Court>BVerwG</b:Court>
    <b:RefOrder>538</b:RefOrder>
  </b:Source>
  <b:Source>
    <b:Tag>Dre06</b:Tag>
    <b:SourceType>BookSection</b:SourceType>
    <b:Guid>{88A23DD4-497F-4FBC-AB65-06E95880B565}</b:Guid>
    <b:Title>Grundgesetz Kommentar Band II</b:Title>
    <b:Year>2. Auflage 2006</b:Year>
    <b:City>Tübingen</b:City>
    <b:ShortTitle>Grundgesetz Kommentar Band II</b:ShortTitle>
    <b:Author>
      <b:Editor>
        <b:NameList>
          <b:Person>
            <b:Last>Dreier</b:Last>
            <b:First>Horst</b:First>
          </b:Person>
        </b:NameList>
      </b:Editor>
    </b:Author>
    <b:RefOrder>539</b:RefOrder>
  </b:Source>
  <b:Source>
    <b:Tag>Lan23</b:Tag>
    <b:SourceType>Book</b:SourceType>
    <b:Guid>{4CB77B4B-BB8F-4E8C-8DFE-7F2588F412EB}</b:Guid>
    <b:Title>Das Elektro-Auto als Treiber von Smart Grids?</b:Title>
    <b:Year>VDE Kongress 2010, Paper INI 6.2.3</b:Year>
    <b:ShortTitle>Das Elektro-Auto als Treiber von Smart Grids?</b:ShortTitle>
    <b:Author>
      <b:Author>
        <b:NameList>
          <b:Person>
            <b:Last>Landeck</b:Last>
            <b:First>Erik</b:First>
          </b:Person>
        </b:NameList>
      </b:Author>
    </b:Author>
    <b:RefOrder>540</b:RefOrder>
  </b:Source>
  <b:Source>
    <b:Tag>Wei13</b:Tag>
    <b:SourceType>Book</b:SourceType>
    <b:Guid>{7BD3F462-5879-4FB8-8F52-B4BE71CF2AE9}</b:Guid>
    <b:Author>
      <b:Author>
        <b:NameList>
          <b:Person>
            <b:Last>Weis</b:Last>
            <b:First>Eva</b:First>
          </b:Person>
        </b:NameList>
      </b:Author>
    </b:Author>
    <b:Title>Technischer Datenschutz an öffentlichen Ladestationen unter Berücksichtigung des Referentenentwurfs der Messsystemverordnung</b:Title>
    <b:Year>Informatik 2013, Proceedings. GI-Edition-Lecture Notes in Informatics (LNI), 2013, S. 2167</b:Year>
    <b:ShortTitle>Technischer Datenschutz an öffentlichen Ladestationen unter Berücksichtigung des Referentenentwurfs der Messsystemverordnung, in: Tagungsband der INFORMATIK 2013, Lecture Notes in Informatics, Band P192, S. 2167</b:ShortTitle>
    <b:RefOrder>541</b:RefOrder>
  </b:Source>
  <b:Source>
    <b:Tag>Gol07</b:Tag>
    <b:SourceType>BookSection</b:SourceType>
    <b:Guid>{3B4B2916-73E1-4C7D-9D1D-2EC23CA55530}</b:Guid>
    <b:Title>BDSG Bundesdatenschutzgesetz Kommentar</b:Title>
    <b:Year>11. Auflage 2012</b:Year>
    <b:Author>
      <b:Editor>
        <b:NameList>
          <b:Person>
            <b:Last>Gola</b:Last>
            <b:First>Peter</b:First>
          </b:Person>
          <b:Person>
            <b:Last>Schomerus</b:Last>
            <b:First>Rudolf</b:First>
          </b:Person>
        </b:NameList>
      </b:Editor>
    </b:Author>
    <b:City>München</b:City>
    <b:Publisher>C.H. Beck</b:Publisher>
    <b:ShortTitle>BDSG</b:ShortTitle>
    <b:RefOrder>542</b:RefOrder>
  </b:Source>
  <b:Source>
    <b:Tag>Kil12</b:Tag>
    <b:SourceType>BookSection</b:SourceType>
    <b:Guid>{C7C28AC9-E92F-4682-8420-CC40B36105F5}</b:Guid>
    <b:Title>Computerrechts-Handbuch Informationstechnologie in der Rechts- und Wirtschaftspraxis</b:Title>
    <b:Year>Stand Mai 2012</b:Year>
    <b:City>München</b:City>
    <b:ShortTitle>Computerrechts-Handbuch</b:ShortTitle>
    <b:Author>
      <b:Editor>
        <b:NameList>
          <b:Person>
            <b:Last>Kilian</b:Last>
            <b:First>Wolfgang</b:First>
          </b:Person>
          <b:Person>
            <b:Last>Heussen</b:Last>
            <b:First>Benno</b:First>
          </b:Person>
        </b:NameList>
      </b:Editor>
    </b:Author>
    <b:RefOrder>543</b:RefOrder>
  </b:Source>
  <b:Source>
    <b:Tag>Wis09</b:Tag>
    <b:SourceType>DocumentFromInternetSite</b:SourceType>
    <b:Guid>{99EA281A-FA91-41CA-A50B-083155BD1750}</b:Guid>
    <b:Title>IKT, Wachstum und Produktivität in der Energiewirtschaft - Auf dem Weg zum Smart Grid</b:Title>
    <b:Year>Mai 2009</b:Year>
    <b:ShortTitle>IKT, Wachstum und Produktivität in der Energiewirtschaft - Auf dem Weg zum Smart Grid</b:ShortTitle>
    <b:InternetSiteTitle>online über http://www.ub.uni-koeln.de/ssg-bwl/archiv1/2010/126975_ikt_wachstum_produktivitaet.pdf</b:InternetSiteTitle>
    <b:DayAccessed>22.10.2013</b:DayAccessed>
    <b:Author>
      <b:Author>
        <b:NameList>
          <b:Person>
            <b:Last>Wissner</b:Last>
            <b:First>Matthias</b:First>
          </b:Person>
        </b:NameList>
      </b:Author>
    </b:Author>
    <b:RefOrder>544</b:RefOrder>
  </b:Source>
  <b:Source>
    <b:Tag>NJW9</b:Tag>
    <b:SourceType>Case</b:SourceType>
    <b:Guid>{5B8C660B-1F7A-4B6F-B105-B54E63C122C2}</b:Guid>
    <b:Title>NJW-RR 1993, 1159</b:Title>
    <b:Court>BGH</b:Court>
    <b:RefOrder>545</b:RefOrder>
  </b:Source>
  <b:Source>
    <b:Tag>Pal05</b:Tag>
    <b:SourceType>BookSection</b:SourceType>
    <b:Guid>{80035A9E-ADC4-4AF5-8D57-89007B04A7E9}</b:Guid>
    <b:Title>Bürgerliches Gesetzbuch</b:Title>
    <b:Year>70. Auflage 2011</b:Year>
    <b:ShortTitle>BGB</b:ShortTitle>
    <b:City>München</b:City>
    <b:Author>
      <b:Editor>
        <b:NameList>
          <b:Person>
            <b:Last>Palandt</b:Last>
            <b:First>Otto</b:First>
          </b:Person>
        </b:NameList>
      </b:Editor>
    </b:Author>
    <b:RefOrder>546</b:RefOrder>
  </b:Source>
  <b:Source>
    <b:Tag>Sch1</b:Tag>
    <b:SourceType>BookSection</b:SourceType>
    <b:Guid>{47564C69-24F8-47EF-9236-2C535FB0C6EC}</b:Guid>
    <b:Author>
      <b:Editor>
        <b:NameList>
          <b:Person>
            <b:Last>Schmidt</b:Last>
          </b:Person>
          <b:Person>
            <b:Last>Futterer</b:Last>
          </b:Person>
        </b:NameList>
      </b:Editor>
    </b:Author>
    <b:Title>Herausgegeben von Blank, Hubert, Mietrecht - Großkommentar des Wohn- und Gewerberaummietrechts</b:Title>
    <b:Year>11. Auflage 2013</b:Year>
    <b:City>München </b:City>
    <b:ShortTitle>Mietrecht</b:ShortTitle>
    <b:RefOrder>547</b:RefOrder>
  </b:Source>
  <b:Source>
    <b:Tag>deW08</b:Tag>
    <b:SourceType>ArticleInAPeriodical</b:SourceType>
    <b:Guid>{8DDBC03B-44CD-4F54-B23F-E5DE82E9A266}</b:Guid>
    <b:Title>Die rechtlichen Handlungsspielräume von Netzbetreiber und -nutzer beim Abschluss von Netznutzungsverträgen</b:Title>
    <b:Year>2008</b:Year>
    <b:PeriodicalTitle>ZNER</b:PeriodicalTitle>
    <b:Pages>20</b:Pages>
    <b:Author>
      <b:Author>
        <b:NameList>
          <b:Person>
            <b:Last>de Wyl</b:Last>
            <b:First>Christian</b:First>
          </b:Person>
          <b:Person>
            <b:Last>vom Wege</b:Last>
            <b:First>Jan-Hendrik</b:First>
          </b:Person>
        </b:NameList>
      </b:Author>
    </b:Author>
    <b:RefOrder>548</b:RefOrder>
  </b:Source>
  <b:Source>
    <b:Tag>Fic09</b:Tag>
    <b:SourceType>ArticleInAPeriodical</b:SourceType>
    <b:Guid>{2971F6F0-18AE-4779-AC7A-1CA0BCD71246}</b:Guid>
    <b:Title>Virtuelle Kraftwerke als Anbieter von Regelenergieprodukten</b:Title>
    <b:PeriodicalTitle>ZNER</b:PeriodicalTitle>
    <b:Year>2009</b:Year>
    <b:Pages>17</b:Pages>
    <b:Author>
      <b:Author>
        <b:NameList>
          <b:Person>
            <b:Last>Fickers</b:Last>
            <b:First>Marcus</b:First>
          </b:Person>
        </b:NameList>
      </b:Author>
    </b:Author>
    <b:RefOrder>549</b:RefOrder>
  </b:Source>
  <b:Source>
    <b:Tag>Win12</b:Tag>
    <b:SourceType>ArticleInAPeriodical</b:SourceType>
    <b:Guid>{57E8B559-94AE-47B4-9811-FF95936C5FB1}</b:Guid>
    <b:Title>Rechtliche Herausforderungen des "Smart Grid"</b:Title>
    <b:PeriodicalTitle>VerwArch</b:PeriodicalTitle>
    <b:Year>2012</b:Year>
    <b:Pages>491</b:Pages>
    <b:Author>
      <b:Author>
        <b:NameList>
          <b:Person>
            <b:Last>Windoffer</b:Last>
            <b:First>Alexander</b:First>
          </b:Person>
          <b:Person>
            <b:Last>Groß</b:Last>
            <b:First>Johannes</b:First>
          </b:Person>
        </b:NameList>
      </b:Author>
    </b:Author>
    <b:RefOrder>550</b:RefOrder>
  </b:Source>
  <b:Source>
    <b:Tag>Str11</b:Tag>
    <b:SourceType>ArticleInAPeriodical</b:SourceType>
    <b:Guid>{006B8F8B-B132-4619-B42E-B6A856046256}</b:Guid>
    <b:Title>Geschlossene Verteilernetze - Ein Überblick über § 110 EnWG und die Abgrenzung zur Kundenanlage</b:Title>
    <b:PeriodicalTitle>CuR</b:PeriodicalTitle>
    <b:Year>2011</b:Year>
    <b:Pages>105</b:Pages>
    <b:Author>
      <b:Author>
        <b:NameList>
          <b:Person>
            <b:Last>Strohe</b:Last>
            <b:First>Dirk</b:First>
          </b:Person>
        </b:NameList>
      </b:Author>
    </b:Author>
    <b:RefOrder>551</b:RefOrder>
  </b:Source>
  <b:Source>
    <b:Tag>NJW10</b:Tag>
    <b:SourceType>Case</b:SourceType>
    <b:Guid>{3D684EBE-EAF0-4C30-B754-7DBE26933722}</b:Guid>
    <b:Title>NJW-RR 2008, 1654</b:Title>
    <b:Court>BGH</b:Court>
    <b:RefOrder>552</b:RefOrder>
  </b:Source>
  <b:Source>
    <b:Tag>BGB</b:Tag>
    <b:SourceType>Case</b:SourceType>
    <b:Guid>{F9B15167-5262-4C56-B894-EB6236351FAF}</b:Guid>
    <b:Title>BGBl. I S. 3250</b:Title>
    <b:RefOrder>553</b:RefOrder>
  </b:Source>
  <b:Source>
    <b:Tag>Ede13</b:Tag>
    <b:SourceType>ArticleInAPeriodical</b:SourceType>
    <b:Guid>{C96946AE-986B-459B-B49C-AE8662A344A9}</b:Guid>
    <b:Title>Die Bilanzierung auf Basis von Zählerstandsgängen - Inhalt, Anwendungsbereich und Folgen der neuen Vorgaben der StromNZV</b:Title>
    <b:PeriodicalTitle>IR</b:PeriodicalTitle>
    <b:Year>2013</b:Year>
    <b:Pages>223</b:Pages>
    <b:Author>
      <b:Author>
        <b:NameList>
          <b:Person>
            <b:Last>Eder</b:Last>
            <b:First>Jost</b:First>
          </b:Person>
          <b:Person>
            <b:Last>vom Wege</b:Last>
            <b:First>Jan-Hendrik</b:First>
          </b:Person>
          <b:Person>
            <b:Last>Weise</b:Last>
            <b:First>Michael</b:First>
          </b:Person>
        </b:NameList>
      </b:Author>
    </b:Author>
    <b:RefOrder>554</b:RefOrder>
  </b:Source>
  <b:Source>
    <b:Tag>VDN06</b:Tag>
    <b:SourceType>DocumentFromInternetSite</b:SourceType>
    <b:Guid>{492DD64C-9B8D-4B1C-A6C6-532FE1604EFE}</b:Guid>
    <b:Title>Metering Code 2006</b:Title>
    <b:Year>Juli 2006</b:Year>
    <b:InternetSiteTitle>online über http://www.kevag-verteilnetz.de/fileadmin/upload_kvn/Messregeln/MeteringCode2006.pdf</b:InternetSiteTitle>
    <b:DayAccessed>29.10.2013</b:DayAccessed>
    <b:ShortTitle>Metering Code 2006</b:ShortTitle>
    <b:Author>
      <b:Author>
        <b:Corporate>VDN</b:Corporate>
      </b:Author>
    </b:Author>
    <b:RefOrder>555</b:RefOrder>
  </b:Source>
  <b:Source>
    <b:Tag>Mit1</b:Tag>
    <b:SourceType>Case</b:SourceType>
    <b:Guid>{879EEDF4-5F8D-4ED4-9379-FA03C65E4F12}</b:Guid>
    <b:Title>Mitteilung Nr. 1 zur Festlegung „Marktregeln für die Durchführung der Bilanzkreisabrechnung Strom (MaBiS)“, Az.: BK6-07-002 vom 29.09.2009</b:Title>
    <b:Court>BNetzA, </b:Court>
    <b:RefOrder>556</b:RefOrder>
  </b:Source>
  <b:Source>
    <b:Tag>Har131</b:Tag>
    <b:SourceType>ArticleInAPeriodical</b:SourceType>
    <b:Guid>{55BA366F-01EC-49C2-806C-947F02E25FCD}</b:Guid>
    <b:Title>Öffentliche Ladestationen als Teil des Elektrizitätsversorgungsnetzes der allgemeinen Versorgung - Teil 2</b:Title>
    <b:PeriodicalTitle>ZNER</b:PeriodicalTitle>
    <b:Year>2013</b:Year>
    <b:Pages>475</b:Pages>
    <b:Author>
      <b:Author>
        <b:NameList>
          <b:Person>
            <b:Last>Hartwig</b:Last>
            <b:First>Matthias</b:First>
          </b:Person>
        </b:NameList>
      </b:Author>
    </b:Author>
    <b:RefOrder>557</b:RefOrder>
  </b:Source>
  <b:Source>
    <b:Tag>BDE132</b:Tag>
    <b:SourceType>DocumentFromInternetSite</b:SourceType>
    <b:Guid>{146F67B3-868C-4AC9-BA9D-4599E7BE5F56}</b:Guid>
    <b:Title>EDI@Energy ALLGEMEINE FESTLEGUNGEN</b:Title>
    <b:InternetSiteTitle>online über http://www.edi-energy.de/files2/Allgemeine_Festlegungen_3.3a_20131001.pdf</b:InternetSiteTitle>
    <b:Year>Version 3.3a, Herausgabedatum 01.10.2013</b:Year>
    <b:DayAccessed>10.11.2013</b:DayAccessed>
    <b:ShortTitle>EDI@Energy ALLGEMEINE FESTLEGUNGEN</b:ShortTitle>
    <b:Author>
      <b:Author>
        <b:Corporate>BDEW</b:Corporate>
      </b:Author>
    </b:Author>
    <b:RefOrder>558</b:RefOrder>
  </b:Source>
  <b:Source>
    <b:Tag>Mer11</b:Tag>
    <b:SourceType>DocumentFromInternetSite</b:SourceType>
    <b:Guid>{064CB000-B28A-4C77-8734-58E850C20CDD}</b:Guid>
    <b:Title>Video-Podcast der Bundeskanzlerin 17/11</b:Title>
    <b:Year>14.05.2011</b:Year>
    <b:InternetSiteTitle>online über http://www.bundeskanzlerin.de/nn_707282/Content/DE/Podcast/2011/2011-05-14-Video-Podcast/2011-05-14-video-podcast.html</b:InternetSiteTitle>
    <b:DayAccessed>14.11.2013</b:DayAccessed>
    <b:ShortTitle>Video-Podcast der Bundeskanzlerin 17/11</b:ShortTitle>
    <b:Author>
      <b:Author>
        <b:NameList>
          <b:Person>
            <b:Last>Merkel</b:Last>
            <b:First>Angela</b:First>
          </b:Person>
        </b:NameList>
      </b:Author>
    </b:Author>
    <b:RefOrder>559</b:RefOrder>
  </b:Source>
  <b:Source>
    <b:Tag>Bun102</b:Tag>
    <b:SourceType>DocumentFromInternetSite</b:SourceType>
    <b:Guid>{7F3141E5-6A06-46C4-913C-295E5CDE7212}</b:Guid>
    <b:Author>
      <b:Author>
        <b:Corporate>Bundesministerium für Wirtschaft und Technologie / Bundesministerium für Umwelt, Naturschutz und Reaktorsicherheit</b:Corporate>
      </b:Author>
    </b:Author>
    <b:Title>Energiekonzept für eine umweltschonende, zuverlässige und bezahlbare Energieversorgung</b:Title>
    <b:InternetSiteTitle>online über http://www.bmu.de/fileadmin/bmu-import/files/pdfs/allgemein/application/pdf/energiekonzept_bundesregierung.pdf</b:InternetSiteTitle>
    <b:Year>28. September 2010</b:Year>
    <b:DayAccessed>19.11.2013</b:DayAccessed>
    <b:ShortTitle>Energiekonzept für eine umweltschonende, zuverlässige und bezahlbare Energieversorgung</b:ShortTitle>
    <b:RefOrder>560</b:RefOrder>
  </b:Source>
  <b:Source>
    <b:Tag>Bun12</b:Tag>
    <b:SourceType>DocumentFromInternetSite</b:SourceType>
    <b:Guid>{66B70755-E225-4F86-A6FA-AE0465A78280}</b:Guid>
    <b:Author>
      <b:Author>
        <b:Corporate>Bundesministerium für Wirtschaft und Technologie / Bundesministerium für Umwelt, Naturschutz und Reaktorsicherheit</b:Corporate>
      </b:Author>
    </b:Author>
    <b:Title>Erster Monitoring-Bericht "Energie der Zukunft"</b:Title>
    <b:InternetSiteTitle>online über http://www.bmwi.de/BMWi/Redaktion/PDF/Publikationen/erster-monitoring-bericht-energie-der-zukunft,property=pdf,bereich=bmwi2012,sprache=de,rwb=true.pdf</b:InternetSiteTitle>
    <b:Year>Dezember 2012</b:Year>
    <b:DayAccessed>19.11.2013</b:DayAccessed>
    <b:ShortTitle>Erster Monitoring-Bericht "Energie der Zukunft"</b:ShortTitle>
    <b:RefOrder>561</b:RefOrder>
  </b:Source>
  <b:Source>
    <b:Tag>Brä11</b:Tag>
    <b:SourceType>DocumentFromInternetSite</b:SourceType>
    <b:Guid>{7A0FFF8C-8E6F-44AF-B352-C65AD635E1AB}</b:Guid>
    <b:Author>
      <b:Author>
        <b:NameList>
          <b:Person>
            <b:Last>Brändle</b:Last>
            <b:First>Michael</b:First>
          </b:Person>
        </b:NameList>
      </b:Author>
    </b:Author>
    <b:Title>EnWG-Novelle 2011 - Zivilrechtliche Neuregelungen</b:Title>
    <b:InternetSiteTitle>http://www.ra-braendle.de/resources/20110803+Br$C3$A4ndle+-+EnWG-Novelle+2011+-+Zivilrechtliche+Neuregelungen$2C+VW-Online+Dok-Nr+11001050.pdf</b:InternetSiteTitle>
    <b:Year>In: Versorgungswirtschaft, 03. August 2011</b:Year>
    <b:DayAccessed>25.10.2011</b:DayAccessed>
    <b:ShortTitle>EnWG-Novelle 2011 - Zivilrechtliche Neuregelungen</b:ShortTitle>
    <b:RefOrder>562</b:RefOrder>
  </b:Source>
  <b:Source>
    <b:Tag>Pan13</b:Tag>
    <b:SourceType>DocumentFromInternetSite</b:SourceType>
    <b:Guid>{F24FA3DD-1F5E-4E3A-883B-8BAF09A3DF34}</b:Guid>
    <b:Title>Das Klagen beim Laden, In: Spiegel Online</b:Title>
    <b:InternetSiteTitle>online über http://www.spiegel.de/auto/aktuell/elektroauto-infrastruktur-diverse-stecker-zahlreiche-bezahlsysteme-a-930582.html</b:InternetSiteTitle>
    <b:Year>18.11.2013</b:Year>
    <b:DayAccessed>19.11.2013</b:DayAccessed>
    <b:ShortTitle>Das Klagen beim Laden, In: Spiegel Online</b:ShortTitle>
    <b:Author>
      <b:Author>
        <b:NameList>
          <b:Person>
            <b:Last>Pander</b:Last>
            <b:First>Jürgen</b:First>
          </b:Person>
          <b:Person>
            <b:Last>Bruhn</b:Last>
            <b:First>Markus</b:First>
          </b:Person>
        </b:NameList>
      </b:Author>
    </b:Author>
    <b:RefOrder>563</b:RefOrder>
  </b:Source>
  <b:Source>
    <b:Tag>Nauft</b:Tag>
    <b:SourceType>Book</b:SourceType>
    <b:Guid>{E6D6C2A7-93A2-4291-AB7F-7B5D67E37D08}</b:Guid>
    <b:Title>Anwendung der Norm IEC 61850 in Smart Grids und deren Nutzen im Bereich der Elektromobilität, In: VDE-Proceedings</b:Title>
    <b:Year>VDE-Kongress 2012 - Intelligente Energieversorgung der Zukunft</b:Year>
    <b:City>Stuttgart</b:City>
    <b:ShortTitle>Anwendung der Norm IEC 61850 in Smart Grids und deren Nutzen im Bereich der Elektromobilität, In: VDE-Proceedings 2012 - Intelligente Energieversorgung der Zukunft</b:ShortTitle>
    <b:Author>
      <b:Author>
        <b:NameList>
          <b:Person>
            <b:Last>Nauck</b:Last>
            <b:First>Enrico</b:First>
          </b:Person>
          <b:Person>
            <b:Last>Oswald</b:Last>
            <b:First>Erik</b:First>
          </b:Person>
          <b:Person>
            <b:Last>Spähn</b:Last>
            <b:First>Michael</b:First>
          </b:Person>
        </b:NameList>
      </b:Author>
    </b:Author>
    <b:RefOrder>564</b:RefOrder>
  </b:Source>
  <b:Source>
    <b:Tag>Ber09</b:Tag>
    <b:SourceType>DocumentFromInternetSite</b:SourceType>
    <b:Guid>{611BA208-75BA-4369-A049-B5AAD07B392C}</b:Guid>
    <b:Title>Strategie 2030 – Mobilität</b:Title>
    <b:Year>November 2009</b:Year>
    <b:ShortTitle>Strategie 2030 – Mobilität</b:ShortTitle>
    <b:Author>
      <b:Author>
        <b:Corporate>Berenberg Bank / HWWI Hamburgisches WeltWirtschaftsInstitut</b:Corporate>
      </b:Author>
    </b:Author>
    <b:InternetSiteTitle>online über http://www.hwwi.org/fileadmin/hwwi/Publikationen/Partnerpublikationen/Berenberg/Strategie-2030_Mobilitaet.pdf</b:InternetSiteTitle>
    <b:DayAccessed>20.11.2013</b:DayAccessed>
    <b:RefOrder>565</b:RefOrder>
  </b:Source>
  <b:Source>
    <b:Tag>Pro12</b:Tag>
    <b:SourceType>BookSection</b:SourceType>
    <b:Guid>{D32ADA30-3F4F-42A8-AF23-F241CAA27CB3}</b:Guid>
    <b:Title>Zukünftige Entwicklungen in der Mobilität - Betriebswirtschaftliche und technische Aspekte</b:Title>
    <b:Year>2012</b:Year>
    <b:ShortTitle>Zukünftige Entwicklungen in der Mobilität</b:ShortTitle>
    <b:City>Wiesbaden</b:City>
    <b:Author>
      <b:Editor>
        <b:NameList>
          <b:Person>
            <b:Last>Proff</b:Last>
            <b:First>Heike</b:First>
          </b:Person>
          <b:Person>
            <b:Last>Schönharting</b:Last>
            <b:First>Jörg</b:First>
          </b:Person>
          <b:Person>
            <b:Last>Schramm</b:Last>
            <b:First>Dieter</b:First>
          </b:Person>
          <b:Person>
            <b:Last>Ziegler</b:Last>
            <b:First>Jürgen</b:First>
          </b:Person>
        </b:NameList>
      </b:Editor>
    </b:Author>
    <b:RefOrder>566</b:RefOrder>
  </b:Source>
  <b:Source>
    <b:Tag>Kle11</b:Tag>
    <b:SourceType>Book</b:SourceType>
    <b:Guid>{090B2B9E-7E47-4CB6-B507-DE64258E6294}</b:Guid>
    <b:Title>Ladeinfrastrukturen für Elektrofahrzeuge - Entwicklung und Bewertung einer Ausbaustrategie auf Basis des Fahrverhaltens</b:Title>
    <b:Year>2011</b:Year>
    <b:City>Stuttgart</b:City>
    <b:ShortTitle>Ladeinfrastrukturen für Elektrofahrzeuge - Entwicklung und Bewertung einer Ausbaustrategie auf Basis des Fahrverhaltens</b:ShortTitle>
    <b:Author>
      <b:Author>
        <b:NameList>
          <b:Person>
            <b:Last>Kley</b:Last>
            <b:First>Fabian</b:First>
          </b:Person>
        </b:NameList>
      </b:Author>
    </b:Author>
    <b:RefOrder>567</b:RefOrder>
  </b:Source>
  <b:Source>
    <b:Tag>Wei11</b:Tag>
    <b:SourceType>Book</b:SourceType>
    <b:Guid>{17473392-C1C9-404B-9B18-90AF3EF4F943}</b:Guid>
    <b:Title>Beweis- und eichrechtliche Aspekte in Bezug auf Elektrofahrzeuge im Smart Grid</b:Title>
    <b:Author>
      <b:Author>
        <b:NameList>
          <b:Person>
            <b:Last>Weis</b:Last>
            <b:First>Eva</b:First>
          </b:Person>
        </b:NameList>
      </b:Author>
    </b:Author>
    <b:PeriodicalTitle>Informatik 2011, Proceedings, GI-Edition: Lecture Notes in Informatics" (LNI)</b:PeriodicalTitle>
    <b:Year>Informatik 2011, Proceedings, GI-Edition: Lecture Notes in Informatics" (LNI), 2011</b:Year>
    <b:Pages>280</b:Pages>
    <b:ShortTitle>Beweis- und eichrechtliche Aspekte in Bezug auf Elektrofahrzeuge im Smart Grid, in: Informatik 2011, Proceedings, GI-Edition: Lecture Notes in Informatics" (LNI), 2011</b:ShortTitle>
    <b:RefOrder>568</b:RefOrder>
  </b:Source>
  <b:Source>
    <b:Tag>Gro41</b:Tag>
    <b:SourceType>Book</b:SourceType>
    <b:Guid>{32CB27A1-65AC-4A53-9EB6-55B86D968A9C}</b:Guid>
    <b:Author>
      <b:Author>
        <b:NameList>
          <b:Person>
            <b:Last>Grottker</b:Last>
            <b:First>Ulrich</b:First>
          </b:Person>
        </b:NameList>
      </b:Author>
    </b:Author>
    <b:Title>Vertrauenswürdige Tankstromrechnung - Eichrecht und Elektromobilität</b:Title>
    <b:Year>VDE-Kongress 2010, Paper FZT 2.4.1</b:Year>
    <b:ShortTitle>Vertrauenswürdige Tankstromrechnung - Eichrecht und Elektromobilität, in: VDE-Kongress 2010, Proceedings, Paper FZT 2.4.1</b:ShortTitle>
    <b:RefOrder>569</b:RefOrder>
  </b:Source>
  <b:Source>
    <b:Tag>Czi12</b:Tag>
    <b:SourceType>BookSection</b:SourceType>
    <b:Guid>{24A9ACD8-C065-444B-A4F5-1FAC15A1446B}</b:Guid>
    <b:Title>Hütte - Das Ingenieurwissen</b:Title>
    <b:Year>34. Auflage 2012</b:Year>
    <b:ShortTitle>Hütte - Das Ingenieurwissen</b:ShortTitle>
    <b:City>Berlin</b:City>
    <b:Author>
      <b:Editor>
        <b:NameList>
          <b:Person>
            <b:Last>Czichos</b:Last>
            <b:First>Horst</b:First>
          </b:Person>
          <b:Person>
            <b:Last>Henneke</b:Last>
            <b:First>Manfred</b:First>
          </b:Person>
        </b:NameList>
      </b:Editor>
    </b:Author>
    <b:RefOrder>570</b:RefOrder>
  </b:Source>
  <b:Source>
    <b:Tag>Bro</b:Tag>
    <b:SourceType>Report</b:SourceType>
    <b:Guid>{6CE35338-B311-49FB-B43A-7E47331CCF50}</b:Guid>
    <b:Title>Brockhaus Enzyklopädie</b:Title>
    <b:Pages>online über http://www.brockhaus-enzyklopaedie.de</b:Pages>
    <b:ThesisType>01.07.2010</b:ThesisType>
    <b:ShortTitle>Brockhaus Enzyklopädie</b:ShortTitle>
    <b:RefOrder>571</b:RefOrder>
  </b:Source>
  <b:Source>
    <b:Tag>PTB3</b:Tag>
    <b:SourceType>Case</b:SourceType>
    <b:Guid>{20E9A5F2-2BFB-4ACA-B960-F2C018336E44}</b:Guid>
    <b:Title>PTB-A 50.8 Entwurfsfassung, Stand November 2013</b:Title>
    <b:RefOrder>572</b:RefOrder>
  </b:Source>
  <b:Source>
    <b:Tag>Ber10</b:Tag>
    <b:SourceType>DocumentFromInternetSite</b:SourceType>
    <b:Guid>{898E924D-536B-4183-8F28-8E2972DDC9D5}</b:Guid>
    <b:Title>Wettbewerbliche Entwicklungen und Handlungsoptionen im Bereich Zähl- und Messwesen und bei variablen Tarifen</b:Title>
    <b:Year>2010</b:Year>
    <b:Pages>online über www.bundesnetzagentur.de</b:Pages>
    <b:ThesisType>01.07.2010</b:ThesisType>
    <b:ShortTitle>Wettbewerbliche Entwicklungen und Handlungsoptionen im Bereich Zähl- und Messwesen und bei variablen Tarifen</b:ShortTitle>
    <b:Author>
      <b:Author>
        <b:Corporate>BNetzA</b:Corporate>
      </b:Author>
    </b:Author>
    <b:InternetSiteTitle>online über www.bundesnetzagentur.de</b:InternetSiteTitle>
    <b:DayAccessed>10.07.2010</b:DayAccessed>
    <b:RefOrder>573</b:RefOrder>
  </b:Source>
  <b:Source>
    <b:Tag>BTD17</b:Tag>
    <b:SourceType>Case</b:SourceType>
    <b:Guid>{81AF9F18-4579-444A-8F3B-2B91C03D491E}</b:Guid>
    <b:Title>BT-Drucks. 16/9470</b:Title>
    <b:RefOrder>574</b:RefOrder>
  </b:Source>
  <b:Source>
    <b:Tag>BNe101</b:Tag>
    <b:SourceType>DocumentFromInternetSite</b:SourceType>
    <b:Guid>{02CBB77C-1F05-42BD-A342-A368CE30238F}</b:Guid>
    <b:Title>Positionspapier zu den Anforderungen an Messeinrichtungen nach § 21b Abs. 3a und 3b EnWG</b:Title>
    <b:Year>23.06.2010</b:Year>
    <b:ShortTitle>Positionspapier zu den Anforderungen an Messeinrichtungen nach § 21b Abs. 3a und 3b EnWG</b:ShortTitle>
    <b:Pages>online über www.bundesnetzagentur.de</b:Pages>
    <b:ThesisType>03.02.2012</b:ThesisType>
    <b:InternetSiteTitle>online über www.bundesnetzagentur.de</b:InternetSiteTitle>
    <b:DayAccessed>26.11.2013</b:DayAccessed>
    <b:Author>
      <b:Author>
        <b:Corporate>BNetzA</b:Corporate>
      </b:Author>
    </b:Author>
    <b:RefOrder>575</b:RefOrder>
  </b:Source>
  <b:Source>
    <b:Tag>Boe13</b:Tag>
    <b:SourceType>BookSection</b:SourceType>
    <b:Guid>{53C1BB6F-A45A-4CB0-9B1F-205D81DCAB66}</b:Guid>
    <b:Author>
      <b:Editor>
        <b:NameList>
          <b:Person>
            <b:Last>Boesche</b:Last>
            <b:First>Katharina</b:First>
            <b:Middle>Vera</b:Middle>
          </b:Person>
          <b:Person>
            <b:Last>Franz</b:Last>
            <b:First>Oliver</b:First>
          </b:Person>
          <b:Person>
            <b:Last>Fest</b:Last>
            <b:First>Claus</b:First>
          </b:Person>
          <b:Person>
            <b:Last>Gaul</b:Last>
            <b:First>Armin</b:First>
          </b:Person>
        </b:NameList>
      </b:Editor>
    </b:Author>
    <b:Title>Berliner Handbuch zur Elektromobilität</b:Title>
    <b:Year>2013</b:Year>
    <b:ShortTitle>Berliner Handbuch zur Elektromobilität</b:ShortTitle>
    <b:City>München</b:City>
    <b:RefOrder>576</b:RefOrder>
  </b:Source>
  <b:Source>
    <b:Tag>May131</b:Tag>
    <b:SourceType>ArticleInAPeriodical</b:SourceType>
    <b:Guid>{18C5B4DD-FE38-4D5E-8B66-8D2F579C2C8B}</b:Guid>
    <b:Title>Rechtliche Rahmenbedingungen der Elektromobilität</b:Title>
    <b:Year>2013</b:Year>
    <b:PeriodicalTitle>InTeR</b:PeriodicalTitle>
    <b:Pages>189</b:Pages>
    <b:Author>
      <b:Author>
        <b:NameList>
          <b:Person>
            <b:Last>Mayer</b:Last>
            <b:First>Christian A.</b:First>
          </b:Person>
        </b:NameList>
      </b:Author>
    </b:Author>
    <b:RefOrder>577</b:RefOrder>
  </b:Source>
  <b:Source>
    <b:Tag>Platzhalter3</b:Tag>
    <b:SourceType>BookSection</b:SourceType>
    <b:Guid>{F22F168B-D737-48B4-9B32-7F6707B734C8}</b:Guid>
    <b:Title>Recht der Energiewirtschaft - Praxishandbuch</b:Title>
    <b:Year>4. Auflage 2013</b:Year>
    <b:City>München</b:City>
    <b:Author>
      <b:Editor>
        <b:NameList>
          <b:Person>
            <b:Last>Schneider</b:Last>
            <b:First>Jens-Peter</b:First>
          </b:Person>
          <b:Person>
            <b:Last>Theobald</b:Last>
            <b:First>Christian</b:First>
          </b:Person>
        </b:NameList>
      </b:Editor>
    </b:Author>
    <b:ShortTitle>Recht der Energiewirtschaft</b:ShortTitle>
    <b:RefOrder>578</b:RefOrder>
  </b:Source>
  <b:Source>
    <b:Tag>Sym09</b:Tag>
    <b:SourceType>Report</b:SourceType>
    <b:Guid>{53CBF680-4B07-4DD5-874C-7D5F0D24DBA2}</b:Guid>
    <b:Title>Sym2 -  Technischer Ergebnisbericht zum tLZ-Projekt</b:Title>
    <b:Year>Stand 12.11.2009</b:Year>
    <b:Pages>online über http://www.vde.com/de/fnn/arbeitsgebiete/messwesen/Sym2/Infomaterial/Documents/SyM2_ErgebnisBericht_091112.pdf</b:Pages>
    <b:ShortTitle>Sym2 -  Technischer Ergebnisbericht zum tLZ-Projekt</b:ShortTitle>
    <b:ThesisType>11.12.2013</b:ThesisType>
    <b:RefOrder>579</b:RefOrder>
  </b:Source>
  <b:Source>
    <b:Tag>BRD15</b:Tag>
    <b:SourceType>Case</b:SourceType>
    <b:Guid>{E01B34B4-E1CD-440C-9F67-95A78B1F8FFB}</b:Guid>
    <b:Title>BR-Drucks. 32/13</b:Title>
    <b:RefOrder>580</b:RefOrder>
  </b:Source>
  <b:Source>
    <b:Tag>Säc14</b:Tag>
    <b:SourceType>BookSection</b:SourceType>
    <b:Guid>{D68B83DD-888F-4EC7-AF1E-E4754600AFC8}</b:Guid>
    <b:Title>Berliner Kommentar zum Energierecht, Band 1, Teil 1</b:Title>
    <b:Year>3. Auflage 2014</b:Year>
    <b:City>Frankfurt a.M.</b:City>
    <b:ShortTitle>Energierecht, Band 1, Teil 1, 3. Auflage</b:ShortTitle>
    <b:Author>
      <b:Editor>
        <b:NameList>
          <b:Person>
            <b:Last>Säcker</b:Last>
            <b:Middle>Jürgen</b:Middle>
            <b:First>Franz</b:First>
          </b:Person>
        </b:NameList>
      </b:Editor>
    </b:Author>
    <b:RefOrder>581</b:RefOrder>
  </b:Source>
  <b:Source>
    <b:Tag>Säc141</b:Tag>
    <b:SourceType>BookSection</b:SourceType>
    <b:Guid>{A583BCA9-0DD8-49F2-848C-F2E2A88ACC0B}</b:Guid>
    <b:Title>Berliner Kommentar zum Energierecht, Band 1, Teil 2</b:Title>
    <b:Year>3. Auflage 2014</b:Year>
    <b:City>Frankfurt a.M.</b:City>
    <b:ShortTitle>Energierecht, Band 1, Teil 2, 3. Auflage</b:ShortTitle>
    <b:Author>
      <b:Editor>
        <b:NameList>
          <b:Person>
            <b:Last>Säcker</b:Last>
            <b:Middle>Jürgen</b:Middle>
            <b:First>Franz</b:First>
          </b:Person>
        </b:NameList>
      </b:Editor>
    </b:Author>
    <b:RefOrder>582</b:RefOrder>
  </b:Source>
  <b:Source>
    <b:Tag>Säc10</b:Tag>
    <b:SourceType>BookSection</b:SourceType>
    <b:Guid>{CE37BD4A-60E3-4023-8DE2-BC56A232F538}</b:Guid>
    <b:Title>Berliner Kommentar zum Energierecht, Band 2</b:Title>
    <b:Year>2. Auflage 2010</b:Year>
    <b:City>Frankfurt a.M.</b:City>
    <b:Author>
      <b:Editor>
        <b:NameList>
          <b:Person>
            <b:Last>Säcker</b:Last>
            <b:First>Franz</b:First>
            <b:Middle>Jürgen</b:Middle>
          </b:Person>
        </b:NameList>
      </b:Editor>
    </b:Author>
    <b:ShortTitle>Energierecht, Band 2, 2. Auflage</b:ShortTitle>
    <b:RefOrder>583</b:RefOrder>
  </b:Source>
  <b:Source>
    <b:Tag>Ber</b:Tag>
    <b:SourceType>BookSection</b:SourceType>
    <b:Guid>{9744FC37-4FFF-42A2-8EF7-906DB504D0C4}</b:Guid>
    <b:Title>Berliner Kommentar zum Energierecht, Band 1</b:Title>
    <b:Year>2. Auflage 2010</b:Year>
    <b:City>Frankfurt a.M.</b:City>
    <b:Author>
      <b:Editor>
        <b:NameList>
          <b:Person>
            <b:Last>Säcker</b:Last>
            <b:First>Franz</b:First>
            <b:Middle>Jürgen</b:Middle>
          </b:Person>
        </b:NameList>
      </b:Editor>
    </b:Author>
    <b:ShortTitle>Energierecht, Band 1, 2. Auflage</b:ShortTitle>
    <b:RefOrder>584</b:RefOrder>
  </b:Source>
  <b:Source>
    <b:Tag>Bes9</b:Tag>
    <b:SourceType>Case</b:SourceType>
    <b:Guid>{50C1D2C1-9A04-4300-BB83-1AE47513DBA7}</b:Guid>
    <b:Title>Beschluss vom 18.10.2011, Az. EnVR 68/10</b:Title>
    <b:Court>BGH,</b:Court>
    <b:RefOrder>585</b:RefOrder>
  </b:Source>
  <b:Source>
    <b:Tag>Sta13</b:Tag>
    <b:SourceType>Report</b:SourceType>
    <b:Guid>{F230AB29-4E57-4DF9-928E-631E931DAA34}</b:Guid>
    <b:Title>Statistisches Bundesamt, Statistisches Jahrbuch - Deutschland und Internationales</b:Title>
    <b:Year>2013</b:Year>
    <b:Pages>online über https://www.destatis.de/DE/Publikationen/StatistischesJahrbuch/StatistischesJahrbuch2013.pdf?__blob=publicationFile</b:Pages>
    <b:ThesisType>09.01.2014</b:ThesisType>
    <b:ShortTitle>Statistisches Bundesamt, Statistisches Jahrbuch</b:ShortTitle>
    <b:RefOrder>586</b:RefOrder>
  </b:Source>
  <b:Source>
    <b:Tag>Bau10</b:Tag>
    <b:SourceType>Book</b:SourceType>
    <b:Guid>{2D253556-178F-446C-BD16-00EA194EC553}</b:Guid>
    <b:Title>Cloud Computing - Web-basierte dynamische IT-Services</b:Title>
    <b:Year>2010</b:Year>
    <b:ShortTitle>Cloud Computing</b:ShortTitle>
    <b:City>Berlin</b:City>
    <b:Author>
      <b:Author>
        <b:NameList>
          <b:Person>
            <b:Last>Baun</b:Last>
            <b:First>Christian</b:First>
          </b:Person>
          <b:Person>
            <b:Last>Kunze</b:Last>
            <b:First>Marcel</b:First>
          </b:Person>
          <b:Person>
            <b:Last>Nimis</b:Last>
            <b:First>Jens</b:First>
          </b:Person>
          <b:Person>
            <b:Last>Tai</b:Last>
            <b:First>Stefan</b:First>
          </b:Person>
        </b:NameList>
      </b:Author>
    </b:Author>
    <b:RefOrder>587</b:RefOrder>
  </b:Source>
  <b:Source>
    <b:Tag>Brä13</b:Tag>
    <b:SourceType>BookSection</b:SourceType>
    <b:Guid>{EB442364-CA9D-4685-B5D1-DA8FE168BBDE}</b:Guid>
    <b:Title>IT-Outsourcing und Cloud-Computing - Eine Darstellung aus rechtlicher, technischer, wirtschaftlicher und vertraglicher Sicht</b:Title>
    <b:Year>3. Auflage 2013</b:Year>
    <b:City>Berlin</b:City>
    <b:ShortTitle>IT-Outsourcing und Cloud-Computing</b:ShortTitle>
    <b:Author>
      <b:Editor>
        <b:NameList>
          <b:Person>
            <b:Last>Bräutigam</b:Last>
            <b:First>Peter</b:First>
          </b:Person>
        </b:NameList>
      </b:Editor>
    </b:Author>
    <b:RefOrder>588</b:RefOrder>
  </b:Source>
  <b:Source>
    <b:Tag>Hen11</b:Tag>
    <b:SourceType>ArticleInAPeriodical</b:SourceType>
    <b:Guid>{0946CCED-5781-4607-A869-D3A8B051A7B5}</b:Guid>
    <b:Title>Compliance in Clouds  - Datenschutz und Datensicherheit in Datenwolken</b:Title>
    <b:Year>2011</b:Year>
    <b:PeriodicalTitle>CR</b:PeriodicalTitle>
    <b:Pages>546</b:Pages>
    <b:Author>
      <b:Author>
        <b:NameList>
          <b:Person>
            <b:Last>Hennrich</b:Last>
            <b:First>Thorsten</b:First>
          </b:Person>
        </b:NameList>
      </b:Author>
    </b:Author>
    <b:RefOrder>589</b:RefOrder>
  </b:Source>
  <b:Source>
    <b:Tag>Völ00</b:Tag>
    <b:SourceType>ArticleInAPeriodical</b:SourceType>
    <b:Guid>{87751F9D-9DBF-4AFC-BC0D-2D8B4E7EAD54}</b:Guid>
    <b:Title>Neue Entwicklungen im Recht der Preisangaben</b:Title>
    <b:PeriodicalTitle>NJW</b:PeriodicalTitle>
    <b:Year>2000</b:Year>
    <b:Pages>2787</b:Pages>
    <b:Author>
      <b:Author>
        <b:NameList>
          <b:Person>
            <b:Last>Völker</b:Last>
            <b:First>Stefan</b:First>
          </b:Person>
        </b:NameList>
      </b:Author>
    </b:Author>
    <b:RefOrder>590</b:RefOrder>
  </b:Source>
  <b:Source>
    <b:Tag>Gün11</b:Tag>
    <b:SourceType>ArticleInAPeriodical</b:SourceType>
    <b:Guid>{C7DDB178-C092-423F-BB94-6C9DC24B5DBF}</b:Guid>
    <b:Title>Smarte Preise für smarte Netze – Evolution oder Revolution?</b:Title>
    <b:PeriodicalTitle>ZNER</b:PeriodicalTitle>
    <b:Year>2011</b:Year>
    <b:Pages>417</b:Pages>
    <b:Author>
      <b:Author>
        <b:NameList>
          <b:Person>
            <b:Last>Güneysu</b:Last>
            <b:First>Sindy</b:First>
          </b:Person>
          <b:Person>
            <b:Last>Wieser</b:Last>
            <b:First>Matthias</b:First>
          </b:Person>
        </b:NameList>
      </b:Author>
    </b:Author>
    <b:RefOrder>591</b:RefOrder>
  </b:Source>
  <b:Source>
    <b:Tag>Deude</b:Tag>
    <b:SourceType>Report</b:SourceType>
    <b:Guid>{447B9F38-9D24-4CCA-8EB8-A55D7D839B9A}</b:Guid>
    <b:Title>Deutschlands Zukunft gestalten, Koalitionsvertrag zwischen CDU, CSU und SPD</b:Title>
    <b:Year>18. Legislaturperiode</b:Year>
    <b:Pages>online über http://www.bundestag.de/dokumente/textarchiv/2013/48077057_kw48_koalitionsvertrag/koalitionsvertrag.pdf</b:Pages>
    <b:ThesisType>21.01.2014</b:ThesisType>
    <b:ShortTitle>Deutschlands Zukunft gestalten, Koalitionsvertrag zwischen CDU, CSU und SPD</b:ShortTitle>
    <b:RefOrder>592</b:RefOrder>
  </b:Source>
  <b:Source>
    <b:Tag>Bru11</b:Tag>
    <b:SourceType>ElectronicSource</b:SourceType>
    <b:Guid>{C468D2FE-DDF8-4C7C-9CA1-A1692C0725F5}</b:Guid>
    <b:Title>Modellierung des technisch-wirtschaftlichen Einsatzpotentials von Elektrofahrzeugen in Großstädten</b:Title>
    <b:Year>2011</b:Year>
    <b:ShortTitle>Modellierung des technisch-wirtschaftlichen Einsatzpotentials von Elektrofahrzeugen in Großstädten</b:ShortTitle>
    <b:PublicationTitle>online über http://d-nb.info/103107550X/34</b:PublicationTitle>
    <b:City>München</b:City>
    <b:Day>21.01.2014</b:Day>
    <b:Author>
      <b:Author>
        <b:NameList>
          <b:Person>
            <b:Last>Brunnert</b:Last>
            <b:First>Stefan</b:First>
          </b:Person>
        </b:NameList>
      </b:Author>
    </b:Author>
    <b:RefOrder>593</b:RefOrder>
  </b:Source>
  <b:Source>
    <b:Tag>Plö13</b:Tag>
    <b:SourceType>DocumentFromInternetSite</b:SourceType>
    <b:Guid>{20553D38-76F4-4847-A26C-5E1DF56DEB9E}</b:Guid>
    <b:Title>Markthochlaufszenarien für Elektrofahrzeuge - Langfassung</b:Title>
    <b:Year>18. September 2013</b:Year>
    <b:ShortTitle>Markthochlaufszenarien für Elektrofahrzeuge</b:ShortTitle>
    <b:InternetSiteTitle>online über http://www.isi.fraunhofer.de/isi-media/docs/e/de/publikationen/Fraunhofer-ISI-Markthochlaufszenarien-Elektrofahrzeuge-Langfassung.pdf</b:InternetSiteTitle>
    <b:DayAccessed>21.01.2014</b:DayAccessed>
    <b:Author>
      <b:Author>
        <b:NameList>
          <b:Person>
            <b:Last>Plötz</b:Last>
            <b:First>Patrick</b:First>
          </b:Person>
          <b:Person>
            <b:Last>Gnann</b:Last>
            <b:First>Till</b:First>
          </b:Person>
          <b:Person>
            <b:Last>Kühn</b:Last>
            <b:First>André</b:First>
          </b:Person>
          <b:Person>
            <b:Last>Wietschel</b:Last>
            <b:First>Martin</b:First>
          </b:Person>
        </b:NameList>
      </b:Author>
    </b:Author>
    <b:RefOrder>594</b:RefOrder>
  </b:Source>
  <b:Source>
    <b:Tag>BDE133</b:Tag>
    <b:SourceType>DocumentFromInternetSite</b:SourceType>
    <b:Guid>{E9B52B89-B9BF-4855-88F7-90FF522E71F7}</b:Guid>
    <b:Author>
      <b:Author>
        <b:Corporate>BDEW</b:Corporate>
      </b:Author>
    </b:Author>
    <b:Title>Strompreisanalyse Mai 2013 - Haushalte und Industrie</b:Title>
    <b:InternetSiteTitle>online über https://www.bdew.de/internet.nsf/id/123176ABDD9ECE5DC1257AA20040E368/$file/13%2005%2027%20BDEW_Strompreisanalyse_Mai%202013.pdf</b:InternetSiteTitle>
    <b:Year>Berlin, 27. Mai 2013</b:Year>
    <b:DayAccessed>21.01.2014</b:DayAccessed>
    <b:ShortTitle>Strompreisanalyse Mai 2013</b:ShortTitle>
    <b:RefOrder>595</b:RefOrder>
  </b:Source>
  <b:Source>
    <b:Tag>Kun12</b:Tag>
    <b:SourceType>ArticleInAPeriodical</b:SourceType>
    <b:Guid>{B33A1011-F28B-4FFF-B1CF-51E0014F73B8}</b:Guid>
    <b:Title>Auto-Mobilität: Fahrleistungen steigen 2011 weiter</b:Title>
    <b:Year>47/2012</b:Year>
    <b:Author>
      <b:Author>
        <b:NameList>
          <b:Person>
            <b:Last>Kunert</b:Last>
            <b:First>Uwe</b:First>
          </b:Person>
          <b:Person>
            <b:Last>Radke</b:Last>
            <b:First>Sabine</b:First>
          </b:Person>
          <b:Person>
            <b:Last>Chlond</b:Last>
            <b:First>Bastian</b:First>
          </b:Person>
          <b:Person>
            <b:Last>Kagerbauer</b:Last>
            <b:First>Martin</b:First>
          </b:Person>
        </b:NameList>
      </b:Author>
    </b:Author>
    <b:PeriodicalTitle>DIW Wochenbericht</b:PeriodicalTitle>
    <b:Pages>3</b:Pages>
    <b:RefOrder>596</b:RefOrder>
  </b:Source>
  <b:Source>
    <b:Tag>Gol13</b:Tag>
    <b:SourceType>DocumentFromInternetSite</b:SourceType>
    <b:Guid>{959002A6-C99C-445D-8AE9-F52790FAD06F}</b:Guid>
    <b:Title>Netzverträgliche Integration von E-Fahrzeugen in die bestehenden elektrischen Verteilnetze durch intelligente Ladesteuerung, Ilmenauer Beiträge zur Wirtschaftsinformatik Nr. 2013-02</b:Title>
    <b:Year>April 2013</b:Year>
    <b:ShortTitle>Netzverträgliche Integration von E-Fahrzeugen in die bestehenden elektrischen Verteilnetze durch intelligente Ladesteuerung</b:ShortTitle>
    <b:City>Ilmenau</b:City>
    <b:Author>
      <b:Author>
        <b:NameList>
          <b:Person>
            <b:Last>Gold</b:Last>
            <b:First>Stefan</b:First>
          </b:Person>
          <b:Person>
            <b:Last>Günter</b:Last>
            <b:First>Maik</b:First>
          </b:Person>
          <b:Person>
            <b:Last>Nissen</b:Last>
            <b:First>Volker</b:First>
          </b:Person>
        </b:NameList>
      </b:Author>
    </b:Author>
    <b:InternetSiteTitle>online über http://www.db-thueringen.de/servlets/DerivateServlet/Derivate-27366/ilm1-2013200040.pdf</b:InternetSiteTitle>
    <b:DayAccessed>21.01.2014</b:DayAccessed>
    <b:RefOrder>597</b:RefOrder>
  </b:Source>
  <b:Source>
    <b:Tag>AGE13</b:Tag>
    <b:SourceType>DocumentFromInternetSite</b:SourceType>
    <b:Guid>{153C27F9-8338-4A0B-8FBF-6334315579EC}</b:Guid>
    <b:Author>
      <b:Author>
        <b:Corporate>AG Energiebilanzen e.V.</b:Corporate>
      </b:Author>
    </b:Author>
    <b:Title>Energieverbrauch in Deutschland im Jahr 2012</b:Title>
    <b:InternetSiteTitle>online über http://www.ag-energiebilanzen.de/</b:InternetSiteTitle>
    <b:Year>Stand März 2013</b:Year>
    <b:DayAccessed>21.01.2014</b:DayAccessed>
    <b:ShortTitle>Energieverbrauch in Deutschland im Jahr 2012</b:ShortTitle>
    <b:RefOrder>598</b:RefOrder>
  </b:Source>
  <b:Source>
    <b:Tag>Ahn13</b:Tag>
    <b:SourceType>ArticleInAPeriodical</b:SourceType>
    <b:Guid>{F987547A-BBA3-4E20-BD18-2C7C6D0B5327}</b:Guid>
    <b:Title>Einheitliche Preisauszeichnung alternativer Kraftstoffe am Beispiel von G- und E-Mobility</b:Title>
    <b:Year>2013</b:Year>
    <b:PeriodicalTitle>EnWZ</b:PeriodicalTitle>
    <b:Pages>538</b:Pages>
    <b:Author>
      <b:Author>
        <b:NameList>
          <b:Person>
            <b:Last>Ahnis</b:Last>
            <b:First>Erik</b:First>
          </b:Person>
          <b:Person>
            <b:Last>Kriener</b:Last>
            <b:First>Asareel Tobias</b:First>
          </b:Person>
          <b:Person>
            <b:Last>Bujek</b:Last>
            <b:First>Klaudia</b:First>
          </b:Person>
        </b:NameList>
      </b:Author>
    </b:Author>
    <b:RefOrder>599</b:RefOrder>
  </b:Source>
  <b:Source>
    <b:Tag>VDE05</b:Tag>
    <b:SourceType>DocumentFromInternetSite</b:SourceType>
    <b:Guid>{9CE31813-F541-4F6C-8359-885D18220E5C}</b:Guid>
    <b:Title>Leitfaden "Stromkennzeichnung" - Umsetzungshilfe für Elektrizitätsversorgungsunternehmen, Erzeuger und Lieferanten von Strom zu den Bestimmungen über die Stromkennzeichnung (EnWG vom 7. Juli 2005: § 42 Abs. 1 bis 5, 7 / § 118 Abs. 4)</b:Title>
    <b:Year>14. Oktober 2005</b:Year>
    <b:ShortTitle>Leitfaden "Stromkennzeichnung"</b:ShortTitle>
    <b:Author>
      <b:Author>
        <b:Corporate>VDEW</b:Corporate>
      </b:Author>
    </b:Author>
    <b:InternetSiteTitle>online über http://www.e-track-project.org/VDEW_guidance.pdf</b:InternetSiteTitle>
    <b:DayAccessed>24.01.2014</b:DayAccessed>
    <b:RefOrder>600</b:RefOrder>
  </b:Source>
  <b:Source>
    <b:Tag>BSI121</b:Tag>
    <b:SourceType>DocumentFromInternetSite</b:SourceType>
    <b:Guid>{931CED99-5FFB-404E-A69F-CF57DC00DDDB}</b:Guid>
    <b:Author>
      <b:Author>
        <b:NameList>
          <b:Person>
            <b:Last>BSI</b:Last>
          </b:Person>
        </b:NameList>
      </b:Author>
    </b:Author>
    <b:Title>Technische Richtlinie BSI-TR-03109-1, Anforderungen an die Interoperabilität der Kommunikationseinheit eines intelligenten Messsystems</b:Title>
    <b:InternetSiteTitle>online über https://www.bsi.bund.de/DE/Themen/SmartMeter/TechnRichtlinie/TR_node.html</b:InternetSiteTitle>
    <b:Year>Version 1.0 vom 18.03.2013</b:Year>
    <b:DayAccessed>10.07.2013</b:DayAccessed>
    <b:ShortTitle>Technische Richtlinie BSI-TR-03109-1, Anforderungen an die Interoperabilität der Kommunikationseinheit eines intelligenten Messsystems</b:ShortTitle>
    <b:RefOrder>601</b:RefOrder>
  </b:Source>
  <b:Source>
    <b:Tag>BNe111</b:Tag>
    <b:SourceType>DocumentFromInternetSite</b:SourceType>
    <b:Guid>{C49A0404-9893-42CE-B220-83C4EFF131D3}</b:Guid>
    <b:Author>
      <b:Author>
        <b:Corporate>BNetzA</b:Corporate>
      </b:Author>
    </b:Author>
    <b:Title>„Smart Grid“ und „Smart Market“ - Eckpunktepapier der Bundesnetzagentur zu den Aspekten des sich verändernden Energieversorgungssystems</b:Title>
    <b:InternetSiteTitle>online über http://www.bundesnetzagentur.de/SharedDocs/Downloads/DE/Sachgebiete/Energie/Unternehmen_Institutionen/NetzzugangUndMesswesen/SmartGridEckpunktepapier/SmartGridPapierpdf.pdf?__blob=publicationFile&amp;v=2</b:InternetSiteTitle>
    <b:Year>Dezember 2011</b:Year>
    <b:DayAccessed>27.01.2014</b:DayAccessed>
    <b:ShortTitle>„Smart Grid“ und „Smart Market“ </b:ShortTitle>
    <b:RefOrder>602</b:RefOrder>
  </b:Source>
  <b:Source>
    <b:Tag>Bun</b:Tag>
    <b:SourceType>BookSection</b:SourceType>
    <b:Guid>{D6968F5D-D4E3-4707-AC5B-0CF4E30FC429}</b:Guid>
    <b:Title>Bundesdatenschutzgesetz</b:Title>
    <b:ShortTitle>Bundesdatenschutzgesetz</b:ShortTitle>
    <b:Year>7. Auflage 2011</b:Year>
    <b:City>Baden-Baden</b:City>
    <b:Author>
      <b:Editor>
        <b:NameList>
          <b:Person>
            <b:Last>Simitis</b:Last>
            <b:First>Spiros</b:First>
          </b:Person>
        </b:NameList>
      </b:Editor>
    </b:Author>
    <b:RefOrder>603</b:RefOrder>
  </b:Source>
  <b:Source>
    <b:Tag>Tae10</b:Tag>
    <b:SourceType>BookSection</b:SourceType>
    <b:Guid>{95DA41A3-0D9E-4346-BB45-844FC59AF436}</b:Guid>
    <b:Title>Kommentar zum BDSG und zu den Datenschutzvorschriften des TKG und TMG</b:Title>
    <b:Year>2. Auflage 2013</b:Year>
    <b:City>Frankfurt a.M.</b:City>
    <b:Author>
      <b:Editor>
        <b:NameList>
          <b:Person>
            <b:Last>Taeger</b:Last>
            <b:First>Jürgen</b:First>
          </b:Person>
          <b:Person>
            <b:Last>Gabel</b:Last>
            <b:First>Detlev</b:First>
          </b:Person>
        </b:NameList>
      </b:Editor>
    </b:Author>
    <b:ShortTitle>BDSG</b:ShortTitle>
    <b:RefOrder>604</b:RefOrder>
  </b:Source>
  <b:Source>
    <b:Tag>Ber13</b:Tag>
    <b:SourceType>Book</b:SourceType>
    <b:Guid>{32C08B46-052F-47A3-916C-71F1ED0EAEDB}</b:Guid>
    <b:Title>Datenschutzrecht</b:Title>
    <b:Year>Stand April 2013</b:Year>
    <b:ShortTitle>Datenschutzrecht</b:ShortTitle>
    <b:City>Stuttgart</b:City>
    <b:Author>
      <b:Author>
        <b:NameList>
          <b:Person>
            <b:Last>Bergmann</b:Last>
            <b:First>Lutz</b:First>
          </b:Person>
          <b:Person>
            <b:Last>Möhrle</b:Last>
            <b:First>Roland</b:First>
          </b:Person>
          <b:Person>
            <b:Last>Herb</b:Last>
            <b:First>Armin</b:First>
          </b:Person>
        </b:NameList>
      </b:Author>
    </b:Author>
    <b:RefOrder>605</b:RefOrder>
  </b:Source>
  <b:Source>
    <b:Tag>Wei131</b:Tag>
    <b:SourceType>ArticleInAPeriodical</b:SourceType>
    <b:Guid>{909E3AB1-94C7-42F4-BDB8-01C523EAE1F3}</b:Guid>
    <b:Title>Rechtsfragen und Praxisprobleme bei der Umsetzung des Netzzugangsanspruchs nach § 20 Abs. 1d EnWG</b:Title>
    <b:Year>2013</b:Year>
    <b:PeriodicalTitle>RdE</b:PeriodicalTitle>
    <b:Pages>261</b:Pages>
    <b:Author>
      <b:Author>
        <b:NameList>
          <b:Person>
            <b:Last>Weise</b:Last>
            <b:First>Michael</b:First>
          </b:Person>
          <b:Person>
            <b:Last>Wagner</b:Last>
            <b:First>Florian</b:First>
          </b:Person>
          <b:Person>
            <b:Last>Riedel</b:Last>
            <b:First>Martin</b:First>
          </b:Person>
        </b:NameList>
      </b:Author>
    </b:Author>
    <b:RefOrder>606</b:RefOrder>
  </b:Source>
</b:Sources>
</file>

<file path=customXml/itemProps1.xml><?xml version="1.0" encoding="utf-8"?>
<ds:datastoreItem xmlns:ds="http://schemas.openxmlformats.org/officeDocument/2006/customXml" ds:itemID="{2ADA8CBF-01B4-43ED-9F64-B76BDFAA74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81</Pages>
  <Words>13023</Words>
  <Characters>82052</Characters>
  <Application>Microsoft Office Word</Application>
  <DocSecurity>0</DocSecurity>
  <Lines>683</Lines>
  <Paragraphs>189</Paragraphs>
  <ScaleCrop>false</ScaleCrop>
  <HeadingPairs>
    <vt:vector size="2" baseType="variant">
      <vt:variant>
        <vt:lpstr>Titel</vt:lpstr>
      </vt:variant>
      <vt:variant>
        <vt:i4>1</vt:i4>
      </vt:variant>
    </vt:vector>
  </HeadingPairs>
  <TitlesOfParts>
    <vt:vector size="1" baseType="lpstr">
      <vt:lpstr/>
    </vt:vector>
  </TitlesOfParts>
  <Company>Uni Karlsruhe (TH)</Company>
  <LinksUpToDate>false</LinksUpToDate>
  <CharactersWithSpaces>94886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Mieke</dc:creator>
  <cp:lastModifiedBy>Nadine Klumpp </cp:lastModifiedBy>
  <cp:revision>86</cp:revision>
  <cp:lastPrinted>2017-08-25T08:16:00Z</cp:lastPrinted>
  <dcterms:created xsi:type="dcterms:W3CDTF">2017-08-22T12:26:00Z</dcterms:created>
  <dcterms:modified xsi:type="dcterms:W3CDTF">2017-08-25T08:17:00Z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0">
    <vt:lpwstr>52b45b10-a042-485d-9077-1b390564eb6e</vt:lpwstr>
  </property>
  <property fmtid="{D5CDD505-2E9C-101B-9397-08002B2CF9AE}" pid="3" name="CitaviDocumentProperty_7">
    <vt:lpwstr>MiekeDiss</vt:lpwstr>
  </property>
  <property fmtid="{D5CDD505-2E9C-101B-9397-08002B2CF9AE}" pid="4" name="CitaviDocumentProperty_8">
    <vt:lpwstr>C:\Users\cm9332\Documents\Citavi 4\Projects\MiekeDiss\MiekeDiss.ctv4</vt:lpwstr>
  </property>
  <property fmtid="{D5CDD505-2E9C-101B-9397-08002B2CF9AE}" pid="5" name="CitaviDocumentProperty_6">
    <vt:lpwstr>True</vt:lpwstr>
  </property>
  <property fmtid="{D5CDD505-2E9C-101B-9397-08002B2CF9AE}" pid="6" name="CitaviDocumentProperty_1">
    <vt:lpwstr>4.4.0.28</vt:lpwstr>
  </property>
</Properties>
</file>